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F43AA" w14:textId="77777777" w:rsidR="004C43A5" w:rsidRDefault="00000000">
      <w:pPr>
        <w:jc w:val="center"/>
        <w:rPr>
          <w:rFonts w:ascii="方正小标宋简体" w:eastAsia="方正小标宋简体" w:hAnsi="方正小标宋简体" w:cs="方正小标宋简体" w:hint="eastAsia"/>
          <w:bCs/>
          <w:sz w:val="36"/>
          <w:szCs w:val="32"/>
        </w:rPr>
      </w:pPr>
      <w:r>
        <w:rPr>
          <w:rFonts w:ascii="方正小标宋简体" w:eastAsia="方正小标宋简体" w:hAnsi="方正小标宋简体" w:cs="方正小标宋简体" w:hint="eastAsia"/>
          <w:bCs/>
          <w:sz w:val="36"/>
          <w:szCs w:val="32"/>
        </w:rPr>
        <w:t>团体标准《壮医经筋针刺治疗慢性疲劳综合征操作规范》（征求意见稿）编制说明</w:t>
      </w:r>
    </w:p>
    <w:p w14:paraId="0193B5C4" w14:textId="77777777" w:rsidR="004C43A5" w:rsidRDefault="004C43A5">
      <w:pPr>
        <w:ind w:firstLine="360"/>
        <w:jc w:val="center"/>
        <w:rPr>
          <w:rFonts w:ascii="微软雅黑" w:eastAsia="微软雅黑" w:cs="仿宋_GB2312"/>
          <w:bCs/>
          <w:sz w:val="18"/>
          <w:szCs w:val="18"/>
        </w:rPr>
      </w:pPr>
    </w:p>
    <w:p w14:paraId="1AB0CDFD" w14:textId="77777777" w:rsidR="004C43A5" w:rsidRDefault="00000000">
      <w:pPr>
        <w:spacing w:line="520" w:lineRule="exact"/>
        <w:ind w:firstLineChars="200" w:firstLine="640"/>
        <w:outlineLvl w:val="0"/>
        <w:rPr>
          <w:rFonts w:ascii="黑体" w:eastAsia="黑体" w:cs="仿宋_GB2312"/>
          <w:bCs/>
          <w:sz w:val="32"/>
          <w:szCs w:val="32"/>
        </w:rPr>
      </w:pPr>
      <w:r>
        <w:rPr>
          <w:rFonts w:ascii="黑体" w:eastAsia="黑体" w:cs="仿宋_GB2312" w:hint="eastAsia"/>
          <w:sz w:val="32"/>
          <w:szCs w:val="32"/>
        </w:rPr>
        <w:t>一、任务来源、起草单位、主要起草人</w:t>
      </w:r>
    </w:p>
    <w:p w14:paraId="0BDB15B7"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根据《广西标准化协会关于下达2026年第四批团体标准制修订项目计划的通知》（</w:t>
      </w:r>
      <w:proofErr w:type="gramStart"/>
      <w:r>
        <w:rPr>
          <w:rFonts w:ascii="仿宋_GB2312" w:eastAsia="仿宋_GB2312" w:hint="eastAsia"/>
          <w:sz w:val="28"/>
          <w:szCs w:val="28"/>
        </w:rPr>
        <w:t>桂标协〔2026〕</w:t>
      </w:r>
      <w:proofErr w:type="gramEnd"/>
      <w:r>
        <w:rPr>
          <w:rFonts w:ascii="仿宋_GB2312" w:eastAsia="仿宋_GB2312" w:hint="eastAsia"/>
          <w:sz w:val="28"/>
          <w:szCs w:val="28"/>
        </w:rPr>
        <w:t>52号）精神，由广西民族医药协会提出，广西国际壮医医院、广西中医药大学第一附属医院、崇左市中医壮</w:t>
      </w:r>
      <w:proofErr w:type="gramStart"/>
      <w:r>
        <w:rPr>
          <w:rFonts w:ascii="仿宋_GB2312" w:eastAsia="仿宋_GB2312" w:hint="eastAsia"/>
          <w:sz w:val="28"/>
          <w:szCs w:val="28"/>
        </w:rPr>
        <w:t>医</w:t>
      </w:r>
      <w:proofErr w:type="gramEnd"/>
      <w:r>
        <w:rPr>
          <w:rFonts w:ascii="仿宋_GB2312" w:eastAsia="仿宋_GB2312" w:hint="eastAsia"/>
          <w:sz w:val="28"/>
          <w:szCs w:val="28"/>
        </w:rPr>
        <w:t>医院、桂林市中医医院、百色市中医医院、贺州市中医医院、贵港市中医医院、玉林市红十字会医院、加入</w:t>
      </w:r>
      <w:proofErr w:type="gramStart"/>
      <w:r>
        <w:rPr>
          <w:rFonts w:ascii="仿宋_GB2312" w:eastAsia="仿宋_GB2312" w:hint="eastAsia"/>
          <w:sz w:val="28"/>
          <w:szCs w:val="28"/>
        </w:rPr>
        <w:t>岘</w:t>
      </w:r>
      <w:proofErr w:type="gramEnd"/>
      <w:r>
        <w:rPr>
          <w:rFonts w:ascii="仿宋_GB2312" w:eastAsia="仿宋_GB2312" w:hint="eastAsia"/>
          <w:sz w:val="28"/>
          <w:szCs w:val="28"/>
        </w:rPr>
        <w:t>山县江那镇社区卫生服务中心、清镇市中医医院等单位共同起草的团体标准《壮医经筋针刺治疗慢性疲劳综合征操作规范》（项目编号：2026-0402），已获立项。</w:t>
      </w:r>
    </w:p>
    <w:p w14:paraId="6EDCD24D" w14:textId="77777777" w:rsidR="004C43A5" w:rsidRDefault="00000000">
      <w:pPr>
        <w:spacing w:line="520" w:lineRule="exact"/>
        <w:ind w:firstLineChars="200" w:firstLine="560"/>
        <w:rPr>
          <w:rFonts w:ascii="仿宋_GB2312" w:eastAsia="仿宋_GB2312"/>
          <w:sz w:val="28"/>
          <w:szCs w:val="28"/>
          <w:highlight w:val="yellow"/>
        </w:rPr>
      </w:pPr>
      <w:r>
        <w:rPr>
          <w:rFonts w:ascii="仿宋_GB2312" w:eastAsia="仿宋_GB2312" w:hint="eastAsia"/>
          <w:sz w:val="28"/>
          <w:szCs w:val="28"/>
        </w:rPr>
        <w:t>为高质量编制团体标准《壮医经筋针刺治疗慢性疲劳综合征操作规范》，由起草单位成立标准编制工作组并进行如下分工：</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583"/>
        <w:gridCol w:w="1538"/>
        <w:gridCol w:w="2386"/>
        <w:gridCol w:w="2948"/>
      </w:tblGrid>
      <w:tr w:rsidR="004C43A5" w14:paraId="0DF79DA9" w14:textId="77777777">
        <w:trPr>
          <w:trHeight w:val="438"/>
          <w:jc w:val="center"/>
        </w:trPr>
        <w:tc>
          <w:tcPr>
            <w:tcW w:w="1005" w:type="dxa"/>
            <w:tcBorders>
              <w:top w:val="single" w:sz="4" w:space="0" w:color="auto"/>
              <w:left w:val="single" w:sz="4" w:space="0" w:color="auto"/>
              <w:bottom w:val="single" w:sz="4" w:space="0" w:color="auto"/>
              <w:right w:val="single" w:sz="4" w:space="0" w:color="auto"/>
            </w:tcBorders>
            <w:vAlign w:val="center"/>
          </w:tcPr>
          <w:p w14:paraId="287CBABD"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姓名</w:t>
            </w:r>
          </w:p>
        </w:tc>
        <w:tc>
          <w:tcPr>
            <w:tcW w:w="1583" w:type="dxa"/>
            <w:tcBorders>
              <w:top w:val="single" w:sz="4" w:space="0" w:color="auto"/>
              <w:left w:val="single" w:sz="4" w:space="0" w:color="auto"/>
              <w:bottom w:val="single" w:sz="4" w:space="0" w:color="auto"/>
              <w:right w:val="single" w:sz="4" w:space="0" w:color="auto"/>
            </w:tcBorders>
            <w:vAlign w:val="center"/>
          </w:tcPr>
          <w:p w14:paraId="5414AFF6"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职务/职</w:t>
            </w:r>
            <w:r>
              <w:rPr>
                <w:rFonts w:ascii="仿宋_GB2312" w:eastAsia="仿宋_GB2312" w:hAnsi="仿宋" w:cs="仿宋"/>
                <w:b/>
                <w:sz w:val="24"/>
              </w:rPr>
              <w:t>称</w:t>
            </w:r>
          </w:p>
        </w:tc>
        <w:tc>
          <w:tcPr>
            <w:tcW w:w="1538" w:type="dxa"/>
            <w:tcBorders>
              <w:top w:val="single" w:sz="4" w:space="0" w:color="auto"/>
              <w:left w:val="single" w:sz="4" w:space="0" w:color="auto"/>
              <w:bottom w:val="single" w:sz="4" w:space="0" w:color="auto"/>
              <w:right w:val="single" w:sz="4" w:space="0" w:color="auto"/>
            </w:tcBorders>
            <w:vAlign w:val="center"/>
          </w:tcPr>
          <w:p w14:paraId="38AF5F43"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从事</w:t>
            </w:r>
          </w:p>
          <w:p w14:paraId="3AE66096"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专业</w:t>
            </w:r>
          </w:p>
        </w:tc>
        <w:tc>
          <w:tcPr>
            <w:tcW w:w="2386" w:type="dxa"/>
            <w:tcBorders>
              <w:top w:val="single" w:sz="4" w:space="0" w:color="auto"/>
              <w:left w:val="single" w:sz="4" w:space="0" w:color="auto"/>
              <w:bottom w:val="single" w:sz="4" w:space="0" w:color="auto"/>
              <w:right w:val="single" w:sz="4" w:space="0" w:color="auto"/>
            </w:tcBorders>
            <w:vAlign w:val="center"/>
          </w:tcPr>
          <w:p w14:paraId="33142CC4"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工作单位</w:t>
            </w:r>
          </w:p>
        </w:tc>
        <w:tc>
          <w:tcPr>
            <w:tcW w:w="2948" w:type="dxa"/>
            <w:tcBorders>
              <w:top w:val="single" w:sz="4" w:space="0" w:color="auto"/>
              <w:left w:val="single" w:sz="4" w:space="0" w:color="auto"/>
              <w:bottom w:val="single" w:sz="4" w:space="0" w:color="auto"/>
              <w:right w:val="single" w:sz="4" w:space="0" w:color="auto"/>
            </w:tcBorders>
            <w:vAlign w:val="center"/>
          </w:tcPr>
          <w:p w14:paraId="28061F9D" w14:textId="77777777" w:rsidR="004C43A5" w:rsidRDefault="00000000">
            <w:pPr>
              <w:jc w:val="center"/>
              <w:rPr>
                <w:rFonts w:ascii="仿宋_GB2312" w:eastAsia="仿宋_GB2312" w:hAnsi="仿宋" w:cs="仿宋" w:hint="eastAsia"/>
                <w:b/>
                <w:sz w:val="24"/>
              </w:rPr>
            </w:pPr>
            <w:r>
              <w:rPr>
                <w:rFonts w:ascii="仿宋_GB2312" w:eastAsia="仿宋_GB2312" w:hAnsi="仿宋" w:cs="仿宋" w:hint="eastAsia"/>
                <w:b/>
                <w:sz w:val="24"/>
              </w:rPr>
              <w:t>主要负责工作</w:t>
            </w:r>
          </w:p>
        </w:tc>
      </w:tr>
      <w:tr w:rsidR="004C43A5" w14:paraId="00665CC9" w14:textId="77777777">
        <w:trPr>
          <w:trHeight w:val="628"/>
          <w:jc w:val="center"/>
        </w:trPr>
        <w:tc>
          <w:tcPr>
            <w:tcW w:w="1005" w:type="dxa"/>
            <w:tcBorders>
              <w:top w:val="single" w:sz="4" w:space="0" w:color="auto"/>
              <w:left w:val="single" w:sz="4" w:space="0" w:color="auto"/>
              <w:bottom w:val="single" w:sz="4" w:space="0" w:color="auto"/>
              <w:right w:val="single" w:sz="4" w:space="0" w:color="auto"/>
            </w:tcBorders>
            <w:vAlign w:val="center"/>
          </w:tcPr>
          <w:p w14:paraId="6F6804C7"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肖敬</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048C42D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13EC6E4C"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705024A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4D9C4DE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全面</w:t>
            </w:r>
            <w:r>
              <w:rPr>
                <w:rFonts w:ascii="仿宋_GB2312" w:eastAsia="仿宋_GB2312" w:hAnsi="仿宋_GB2312" w:cs="仿宋_GB2312"/>
                <w:sz w:val="24"/>
                <w:lang w:bidi="ar"/>
              </w:rPr>
              <w:t>组织</w:t>
            </w:r>
          </w:p>
        </w:tc>
      </w:tr>
      <w:tr w:rsidR="004C43A5" w14:paraId="43FF88F1" w14:textId="77777777">
        <w:trPr>
          <w:trHeight w:val="628"/>
          <w:jc w:val="center"/>
        </w:trPr>
        <w:tc>
          <w:tcPr>
            <w:tcW w:w="1005" w:type="dxa"/>
            <w:tcBorders>
              <w:top w:val="single" w:sz="4" w:space="0" w:color="auto"/>
              <w:left w:val="single" w:sz="4" w:space="0" w:color="auto"/>
              <w:bottom w:val="single" w:sz="4" w:space="0" w:color="auto"/>
              <w:right w:val="single" w:sz="4" w:space="0" w:color="auto"/>
            </w:tcBorders>
            <w:vAlign w:val="center"/>
          </w:tcPr>
          <w:p w14:paraId="72023CC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黄嘉岚</w:t>
            </w:r>
          </w:p>
        </w:tc>
        <w:tc>
          <w:tcPr>
            <w:tcW w:w="1583" w:type="dxa"/>
            <w:tcBorders>
              <w:top w:val="single" w:sz="4" w:space="0" w:color="auto"/>
              <w:left w:val="single" w:sz="4" w:space="0" w:color="auto"/>
              <w:bottom w:val="single" w:sz="4" w:space="0" w:color="auto"/>
              <w:right w:val="single" w:sz="4" w:space="0" w:color="auto"/>
            </w:tcBorders>
            <w:vAlign w:val="center"/>
          </w:tcPr>
          <w:p w14:paraId="5AE242C9"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3528EC91"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7E083E7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1D50E8CC"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指导规范文本及编制说明编写，质量控制</w:t>
            </w:r>
          </w:p>
        </w:tc>
      </w:tr>
      <w:tr w:rsidR="004C43A5" w14:paraId="3AB93251" w14:textId="77777777">
        <w:trPr>
          <w:trHeight w:val="644"/>
          <w:jc w:val="center"/>
        </w:trPr>
        <w:tc>
          <w:tcPr>
            <w:tcW w:w="1005" w:type="dxa"/>
            <w:tcBorders>
              <w:top w:val="single" w:sz="4" w:space="0" w:color="auto"/>
              <w:left w:val="single" w:sz="4" w:space="0" w:color="auto"/>
              <w:bottom w:val="single" w:sz="4" w:space="0" w:color="auto"/>
              <w:right w:val="single" w:sz="4" w:space="0" w:color="auto"/>
            </w:tcBorders>
            <w:vAlign w:val="center"/>
          </w:tcPr>
          <w:p w14:paraId="3D354D2F"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陈日兰</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40DED06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副院长/主任医师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3EEEC2F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68BA174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461BFCAC"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负责起草规范草案，征求意见稿和规范编制说明的编写工作</w:t>
            </w:r>
          </w:p>
        </w:tc>
      </w:tr>
      <w:tr w:rsidR="004C43A5" w14:paraId="00D328EA"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6DCC337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韩海涛</w:t>
            </w:r>
          </w:p>
        </w:tc>
        <w:tc>
          <w:tcPr>
            <w:tcW w:w="1583" w:type="dxa"/>
            <w:tcBorders>
              <w:top w:val="single" w:sz="4" w:space="0" w:color="auto"/>
              <w:left w:val="single" w:sz="4" w:space="0" w:color="auto"/>
              <w:bottom w:val="single" w:sz="4" w:space="0" w:color="auto"/>
              <w:right w:val="single" w:sz="4" w:space="0" w:color="auto"/>
            </w:tcBorders>
            <w:vAlign w:val="center"/>
          </w:tcPr>
          <w:p w14:paraId="4DDFB84B"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科副主任/副主任医师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1AAE018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207D10D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广西中医药大学第一附属医院</w:t>
            </w:r>
          </w:p>
        </w:tc>
        <w:tc>
          <w:tcPr>
            <w:tcW w:w="2948" w:type="dxa"/>
            <w:tcBorders>
              <w:top w:val="single" w:sz="4" w:space="0" w:color="auto"/>
              <w:left w:val="single" w:sz="4" w:space="0" w:color="auto"/>
              <w:bottom w:val="single" w:sz="4" w:space="0" w:color="auto"/>
              <w:right w:val="single" w:sz="4" w:space="0" w:color="auto"/>
            </w:tcBorders>
            <w:vAlign w:val="center"/>
          </w:tcPr>
          <w:p w14:paraId="78FC443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52A1C7EE"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3FD54E95"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唐瞻华</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75347F19"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党支部书记/主任医师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79FCC6A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中医骨伤</w:t>
            </w:r>
          </w:p>
        </w:tc>
        <w:tc>
          <w:tcPr>
            <w:tcW w:w="2386" w:type="dxa"/>
            <w:tcBorders>
              <w:top w:val="single" w:sz="4" w:space="0" w:color="auto"/>
              <w:left w:val="single" w:sz="4" w:space="0" w:color="auto"/>
              <w:bottom w:val="single" w:sz="4" w:space="0" w:color="auto"/>
              <w:right w:val="single" w:sz="4" w:space="0" w:color="auto"/>
            </w:tcBorders>
            <w:vAlign w:val="center"/>
          </w:tcPr>
          <w:p w14:paraId="715D2C0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崇左市中医壮</w:t>
            </w:r>
            <w:proofErr w:type="gramStart"/>
            <w:r>
              <w:rPr>
                <w:rFonts w:ascii="仿宋_GB2312" w:eastAsia="仿宋_GB2312" w:hAnsi="仿宋_GB2312" w:cs="仿宋_GB2312" w:hint="eastAsia"/>
                <w:sz w:val="24"/>
                <w:lang w:bidi="ar"/>
              </w:rPr>
              <w:t>医</w:t>
            </w:r>
            <w:proofErr w:type="gramEnd"/>
            <w:r>
              <w:rPr>
                <w:rFonts w:ascii="仿宋_GB2312" w:eastAsia="仿宋_GB2312" w:hAnsi="仿宋_GB2312" w:cs="仿宋_GB2312" w:hint="eastAsia"/>
                <w:sz w:val="24"/>
                <w:lang w:bidi="ar"/>
              </w:rPr>
              <w:t>医院</w:t>
            </w:r>
          </w:p>
        </w:tc>
        <w:tc>
          <w:tcPr>
            <w:tcW w:w="2948" w:type="dxa"/>
            <w:tcBorders>
              <w:top w:val="single" w:sz="4" w:space="0" w:color="auto"/>
              <w:left w:val="single" w:sz="4" w:space="0" w:color="auto"/>
              <w:bottom w:val="single" w:sz="4" w:space="0" w:color="auto"/>
              <w:right w:val="single" w:sz="4" w:space="0" w:color="auto"/>
            </w:tcBorders>
            <w:vAlign w:val="center"/>
          </w:tcPr>
          <w:p w14:paraId="1E703B5B"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5CE68770"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237FE64E"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王希琳</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7CB306F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7B1E25C3"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4E9B9E5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桂林市中医医院</w:t>
            </w:r>
          </w:p>
        </w:tc>
        <w:tc>
          <w:tcPr>
            <w:tcW w:w="2948" w:type="dxa"/>
            <w:tcBorders>
              <w:top w:val="single" w:sz="4" w:space="0" w:color="auto"/>
              <w:left w:val="single" w:sz="4" w:space="0" w:color="auto"/>
              <w:bottom w:val="single" w:sz="4" w:space="0" w:color="auto"/>
              <w:right w:val="single" w:sz="4" w:space="0" w:color="auto"/>
            </w:tcBorders>
            <w:vAlign w:val="center"/>
          </w:tcPr>
          <w:p w14:paraId="4316CDEB"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统筹规范编制工作组织人员进行规范发布后的宣贯培训</w:t>
            </w:r>
          </w:p>
        </w:tc>
      </w:tr>
      <w:tr w:rsidR="004C43A5" w14:paraId="1AB0A1CF"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12E6B014"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阎杰</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36FDA15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3B22872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36A7BE2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贵港市中医医院</w:t>
            </w:r>
          </w:p>
        </w:tc>
        <w:tc>
          <w:tcPr>
            <w:tcW w:w="2948" w:type="dxa"/>
            <w:tcBorders>
              <w:top w:val="single" w:sz="4" w:space="0" w:color="auto"/>
              <w:left w:val="single" w:sz="4" w:space="0" w:color="auto"/>
              <w:bottom w:val="single" w:sz="4" w:space="0" w:color="auto"/>
              <w:right w:val="single" w:sz="4" w:space="0" w:color="auto"/>
            </w:tcBorders>
            <w:vAlign w:val="center"/>
          </w:tcPr>
          <w:p w14:paraId="5C35E57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负责送审稿及编制说明的编写工作</w:t>
            </w:r>
          </w:p>
        </w:tc>
      </w:tr>
      <w:tr w:rsidR="004C43A5" w14:paraId="246C338B"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053C2FA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陈鹏</w:t>
            </w:r>
          </w:p>
        </w:tc>
        <w:tc>
          <w:tcPr>
            <w:tcW w:w="1583" w:type="dxa"/>
            <w:tcBorders>
              <w:top w:val="single" w:sz="4" w:space="0" w:color="auto"/>
              <w:left w:val="single" w:sz="4" w:space="0" w:color="auto"/>
              <w:bottom w:val="single" w:sz="4" w:space="0" w:color="auto"/>
              <w:right w:val="single" w:sz="4" w:space="0" w:color="auto"/>
            </w:tcBorders>
            <w:vAlign w:val="center"/>
          </w:tcPr>
          <w:p w14:paraId="70FE09D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科主任/副主任医师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5CCD537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壮</w:t>
            </w:r>
            <w:proofErr w:type="gramStart"/>
            <w:r>
              <w:rPr>
                <w:rFonts w:ascii="仿宋_GB2312" w:eastAsia="仿宋_GB2312" w:hAnsi="仿宋_GB2312" w:cs="仿宋_GB2312" w:hint="eastAsia"/>
                <w:sz w:val="24"/>
                <w:lang w:bidi="ar"/>
              </w:rPr>
              <w:t>医</w:t>
            </w:r>
            <w:proofErr w:type="gramEnd"/>
          </w:p>
        </w:tc>
        <w:tc>
          <w:tcPr>
            <w:tcW w:w="2386" w:type="dxa"/>
            <w:tcBorders>
              <w:top w:val="single" w:sz="4" w:space="0" w:color="auto"/>
              <w:left w:val="single" w:sz="4" w:space="0" w:color="auto"/>
              <w:bottom w:val="single" w:sz="4" w:space="0" w:color="auto"/>
              <w:right w:val="single" w:sz="4" w:space="0" w:color="auto"/>
            </w:tcBorders>
            <w:vAlign w:val="center"/>
          </w:tcPr>
          <w:p w14:paraId="4C075FD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百色市中医医院</w:t>
            </w:r>
          </w:p>
        </w:tc>
        <w:tc>
          <w:tcPr>
            <w:tcW w:w="2948" w:type="dxa"/>
            <w:tcBorders>
              <w:top w:val="single" w:sz="4" w:space="0" w:color="auto"/>
              <w:left w:val="single" w:sz="4" w:space="0" w:color="auto"/>
              <w:bottom w:val="single" w:sz="4" w:space="0" w:color="auto"/>
              <w:right w:val="single" w:sz="4" w:space="0" w:color="auto"/>
            </w:tcBorders>
            <w:vAlign w:val="center"/>
          </w:tcPr>
          <w:p w14:paraId="51F44E49"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负责起草规范草案，征求意见稿和规范编制说明，</w:t>
            </w:r>
            <w:r>
              <w:rPr>
                <w:rFonts w:ascii="仿宋_GB2312" w:eastAsia="仿宋_GB2312" w:hAnsi="仿宋_GB2312" w:cs="仿宋_GB2312" w:hint="eastAsia"/>
                <w:sz w:val="24"/>
                <w:lang w:bidi="ar"/>
              </w:rPr>
              <w:lastRenderedPageBreak/>
              <w:t>送审稿及编制说明的编写工作</w:t>
            </w:r>
          </w:p>
        </w:tc>
      </w:tr>
      <w:tr w:rsidR="004C43A5" w14:paraId="493918C5"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660219FC"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lastRenderedPageBreak/>
              <w:t>邹小健</w:t>
            </w:r>
          </w:p>
        </w:tc>
        <w:tc>
          <w:tcPr>
            <w:tcW w:w="1583" w:type="dxa"/>
            <w:tcBorders>
              <w:top w:val="single" w:sz="4" w:space="0" w:color="auto"/>
              <w:left w:val="single" w:sz="4" w:space="0" w:color="auto"/>
              <w:bottom w:val="single" w:sz="4" w:space="0" w:color="auto"/>
              <w:right w:val="single" w:sz="4" w:space="0" w:color="auto"/>
            </w:tcBorders>
            <w:vAlign w:val="center"/>
          </w:tcPr>
          <w:p w14:paraId="79ABC51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科主任/副主任医师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4DB5F14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57F71C4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贺州市中医医院</w:t>
            </w:r>
          </w:p>
        </w:tc>
        <w:tc>
          <w:tcPr>
            <w:tcW w:w="2948" w:type="dxa"/>
            <w:tcBorders>
              <w:top w:val="single" w:sz="4" w:space="0" w:color="auto"/>
              <w:left w:val="single" w:sz="4" w:space="0" w:color="auto"/>
              <w:bottom w:val="single" w:sz="4" w:space="0" w:color="auto"/>
              <w:right w:val="single" w:sz="4" w:space="0" w:color="auto"/>
            </w:tcBorders>
            <w:vAlign w:val="center"/>
          </w:tcPr>
          <w:p w14:paraId="3E04623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负责编制说明的编写，质量控制</w:t>
            </w:r>
          </w:p>
        </w:tc>
      </w:tr>
      <w:tr w:rsidR="004C43A5" w14:paraId="365059FA"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2E78254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阮兴秋</w:t>
            </w:r>
          </w:p>
        </w:tc>
        <w:tc>
          <w:tcPr>
            <w:tcW w:w="1583" w:type="dxa"/>
            <w:tcBorders>
              <w:top w:val="single" w:sz="4" w:space="0" w:color="auto"/>
              <w:left w:val="single" w:sz="4" w:space="0" w:color="auto"/>
              <w:bottom w:val="single" w:sz="4" w:space="0" w:color="auto"/>
              <w:right w:val="single" w:sz="4" w:space="0" w:color="auto"/>
            </w:tcBorders>
            <w:vAlign w:val="center"/>
          </w:tcPr>
          <w:p w14:paraId="523A8A8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科主任/副主任医师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2AE13B4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中西医结合临床</w:t>
            </w:r>
          </w:p>
        </w:tc>
        <w:tc>
          <w:tcPr>
            <w:tcW w:w="2386" w:type="dxa"/>
            <w:tcBorders>
              <w:top w:val="single" w:sz="4" w:space="0" w:color="auto"/>
              <w:left w:val="single" w:sz="4" w:space="0" w:color="auto"/>
              <w:bottom w:val="single" w:sz="4" w:space="0" w:color="auto"/>
              <w:right w:val="single" w:sz="4" w:space="0" w:color="auto"/>
            </w:tcBorders>
            <w:vAlign w:val="center"/>
          </w:tcPr>
          <w:p w14:paraId="1DACE62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玉林市红十字会医院</w:t>
            </w:r>
          </w:p>
        </w:tc>
        <w:tc>
          <w:tcPr>
            <w:tcW w:w="2948" w:type="dxa"/>
            <w:tcBorders>
              <w:top w:val="single" w:sz="4" w:space="0" w:color="auto"/>
              <w:left w:val="single" w:sz="4" w:space="0" w:color="auto"/>
              <w:bottom w:val="single" w:sz="4" w:space="0" w:color="auto"/>
              <w:right w:val="single" w:sz="4" w:space="0" w:color="auto"/>
            </w:tcBorders>
            <w:vAlign w:val="center"/>
          </w:tcPr>
          <w:p w14:paraId="0D05E5D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718A7113"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4398ADFA"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陆正坤</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535727B6"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副院长/主任医师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519B4D6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中医</w:t>
            </w:r>
          </w:p>
        </w:tc>
        <w:tc>
          <w:tcPr>
            <w:tcW w:w="2386" w:type="dxa"/>
            <w:tcBorders>
              <w:top w:val="single" w:sz="4" w:space="0" w:color="auto"/>
              <w:left w:val="single" w:sz="4" w:space="0" w:color="auto"/>
              <w:bottom w:val="single" w:sz="4" w:space="0" w:color="auto"/>
              <w:right w:val="single" w:sz="4" w:space="0" w:color="auto"/>
            </w:tcBorders>
            <w:vAlign w:val="center"/>
          </w:tcPr>
          <w:p w14:paraId="4DF64668"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岘</w:t>
            </w:r>
            <w:proofErr w:type="gramEnd"/>
            <w:r>
              <w:rPr>
                <w:rFonts w:ascii="仿宋_GB2312" w:eastAsia="仿宋_GB2312" w:hAnsi="仿宋_GB2312" w:cs="仿宋_GB2312" w:hint="eastAsia"/>
                <w:sz w:val="24"/>
                <w:lang w:bidi="ar"/>
              </w:rPr>
              <w:t>山县江那镇社区卫生服务中心</w:t>
            </w:r>
          </w:p>
        </w:tc>
        <w:tc>
          <w:tcPr>
            <w:tcW w:w="2948" w:type="dxa"/>
            <w:tcBorders>
              <w:top w:val="single" w:sz="4" w:space="0" w:color="auto"/>
              <w:left w:val="single" w:sz="4" w:space="0" w:color="auto"/>
              <w:bottom w:val="single" w:sz="4" w:space="0" w:color="auto"/>
              <w:right w:val="single" w:sz="4" w:space="0" w:color="auto"/>
            </w:tcBorders>
            <w:vAlign w:val="center"/>
          </w:tcPr>
          <w:p w14:paraId="7BF7EEA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2716DC45"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6720D6F8"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甘文静</w:t>
            </w:r>
          </w:p>
        </w:tc>
        <w:tc>
          <w:tcPr>
            <w:tcW w:w="1583" w:type="dxa"/>
            <w:tcBorders>
              <w:top w:val="single" w:sz="4" w:space="0" w:color="auto"/>
              <w:left w:val="single" w:sz="4" w:space="0" w:color="auto"/>
              <w:bottom w:val="single" w:sz="4" w:space="0" w:color="auto"/>
              <w:right w:val="single" w:sz="4" w:space="0" w:color="auto"/>
            </w:tcBorders>
            <w:vAlign w:val="center"/>
          </w:tcPr>
          <w:p w14:paraId="71E3C5A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主任医师/副主任医师</w:t>
            </w:r>
          </w:p>
        </w:tc>
        <w:tc>
          <w:tcPr>
            <w:tcW w:w="1538" w:type="dxa"/>
            <w:tcBorders>
              <w:top w:val="single" w:sz="4" w:space="0" w:color="auto"/>
              <w:left w:val="single" w:sz="4" w:space="0" w:color="auto"/>
              <w:bottom w:val="single" w:sz="4" w:space="0" w:color="auto"/>
              <w:right w:val="single" w:sz="4" w:space="0" w:color="auto"/>
            </w:tcBorders>
            <w:vAlign w:val="center"/>
          </w:tcPr>
          <w:p w14:paraId="4A237908"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中医内科</w:t>
            </w:r>
          </w:p>
        </w:tc>
        <w:tc>
          <w:tcPr>
            <w:tcW w:w="2386" w:type="dxa"/>
            <w:tcBorders>
              <w:top w:val="single" w:sz="4" w:space="0" w:color="auto"/>
              <w:left w:val="single" w:sz="4" w:space="0" w:color="auto"/>
              <w:bottom w:val="single" w:sz="4" w:space="0" w:color="auto"/>
              <w:right w:val="single" w:sz="4" w:space="0" w:color="auto"/>
            </w:tcBorders>
            <w:vAlign w:val="center"/>
          </w:tcPr>
          <w:p w14:paraId="4DE6F30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清镇市中医医院</w:t>
            </w:r>
          </w:p>
        </w:tc>
        <w:tc>
          <w:tcPr>
            <w:tcW w:w="2948" w:type="dxa"/>
            <w:tcBorders>
              <w:top w:val="single" w:sz="4" w:space="0" w:color="auto"/>
              <w:left w:val="single" w:sz="4" w:space="0" w:color="auto"/>
              <w:bottom w:val="single" w:sz="4" w:space="0" w:color="auto"/>
              <w:right w:val="single" w:sz="4" w:space="0" w:color="auto"/>
            </w:tcBorders>
            <w:vAlign w:val="center"/>
          </w:tcPr>
          <w:p w14:paraId="30076768"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6B13152B"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330D149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蒋智芳</w:t>
            </w:r>
          </w:p>
        </w:tc>
        <w:tc>
          <w:tcPr>
            <w:tcW w:w="1583" w:type="dxa"/>
            <w:tcBorders>
              <w:top w:val="single" w:sz="4" w:space="0" w:color="auto"/>
              <w:left w:val="single" w:sz="4" w:space="0" w:color="auto"/>
              <w:bottom w:val="single" w:sz="4" w:space="0" w:color="auto"/>
              <w:right w:val="single" w:sz="4" w:space="0" w:color="auto"/>
            </w:tcBorders>
            <w:vAlign w:val="center"/>
          </w:tcPr>
          <w:p w14:paraId="17DBB05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62079D2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592545A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05ECDE26"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5A366567"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562009C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张锦超</w:t>
            </w:r>
          </w:p>
        </w:tc>
        <w:tc>
          <w:tcPr>
            <w:tcW w:w="1583" w:type="dxa"/>
            <w:tcBorders>
              <w:top w:val="single" w:sz="4" w:space="0" w:color="auto"/>
              <w:left w:val="single" w:sz="4" w:space="0" w:color="auto"/>
              <w:bottom w:val="single" w:sz="4" w:space="0" w:color="auto"/>
              <w:right w:val="single" w:sz="4" w:space="0" w:color="auto"/>
            </w:tcBorders>
            <w:vAlign w:val="center"/>
          </w:tcPr>
          <w:p w14:paraId="26232A2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2E13CE8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48E65CF8"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488966B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69BD23E2"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73DD01F9"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梁欣</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00A19A5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52AA5F8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6D1ED3A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52AA48F1"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00A04227"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1816893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林青琰</w:t>
            </w:r>
          </w:p>
        </w:tc>
        <w:tc>
          <w:tcPr>
            <w:tcW w:w="1583" w:type="dxa"/>
            <w:tcBorders>
              <w:top w:val="single" w:sz="4" w:space="0" w:color="auto"/>
              <w:left w:val="single" w:sz="4" w:space="0" w:color="auto"/>
              <w:bottom w:val="single" w:sz="4" w:space="0" w:color="auto"/>
              <w:right w:val="single" w:sz="4" w:space="0" w:color="auto"/>
            </w:tcBorders>
            <w:vAlign w:val="center"/>
          </w:tcPr>
          <w:p w14:paraId="339BD7D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7CB3C4B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针灸</w:t>
            </w:r>
          </w:p>
        </w:tc>
        <w:tc>
          <w:tcPr>
            <w:tcW w:w="2386" w:type="dxa"/>
            <w:tcBorders>
              <w:top w:val="single" w:sz="4" w:space="0" w:color="auto"/>
              <w:left w:val="single" w:sz="4" w:space="0" w:color="auto"/>
              <w:bottom w:val="single" w:sz="4" w:space="0" w:color="auto"/>
              <w:right w:val="single" w:sz="4" w:space="0" w:color="auto"/>
            </w:tcBorders>
            <w:vAlign w:val="center"/>
          </w:tcPr>
          <w:p w14:paraId="178EA57B"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566F230B"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77D6E689"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1F168DE3"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李海民</w:t>
            </w:r>
          </w:p>
        </w:tc>
        <w:tc>
          <w:tcPr>
            <w:tcW w:w="1583" w:type="dxa"/>
            <w:tcBorders>
              <w:top w:val="single" w:sz="4" w:space="0" w:color="auto"/>
              <w:left w:val="single" w:sz="4" w:space="0" w:color="auto"/>
              <w:bottom w:val="single" w:sz="4" w:space="0" w:color="auto"/>
              <w:right w:val="single" w:sz="4" w:space="0" w:color="auto"/>
            </w:tcBorders>
            <w:vAlign w:val="center"/>
          </w:tcPr>
          <w:p w14:paraId="3F4E0E6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主治医师</w:t>
            </w:r>
          </w:p>
        </w:tc>
        <w:tc>
          <w:tcPr>
            <w:tcW w:w="1538" w:type="dxa"/>
            <w:tcBorders>
              <w:top w:val="single" w:sz="4" w:space="0" w:color="auto"/>
              <w:left w:val="single" w:sz="4" w:space="0" w:color="auto"/>
              <w:bottom w:val="single" w:sz="4" w:space="0" w:color="auto"/>
              <w:right w:val="single" w:sz="4" w:space="0" w:color="auto"/>
            </w:tcBorders>
            <w:vAlign w:val="center"/>
          </w:tcPr>
          <w:p w14:paraId="308AD7E6"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肝胆外科</w:t>
            </w:r>
          </w:p>
        </w:tc>
        <w:tc>
          <w:tcPr>
            <w:tcW w:w="2386" w:type="dxa"/>
            <w:tcBorders>
              <w:top w:val="single" w:sz="4" w:space="0" w:color="auto"/>
              <w:left w:val="single" w:sz="4" w:space="0" w:color="auto"/>
              <w:bottom w:val="single" w:sz="4" w:space="0" w:color="auto"/>
              <w:right w:val="single" w:sz="4" w:space="0" w:color="auto"/>
            </w:tcBorders>
            <w:vAlign w:val="center"/>
          </w:tcPr>
          <w:p w14:paraId="5989725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08F34626"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2655E958"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0A570198" w14:textId="77777777" w:rsidR="004C43A5" w:rsidRDefault="00000000">
            <w:pPr>
              <w:jc w:val="center"/>
              <w:rPr>
                <w:rFonts w:ascii="仿宋_GB2312" w:eastAsia="仿宋_GB2312" w:hAnsi="仿宋_GB2312" w:cs="仿宋_GB2312" w:hint="eastAsia"/>
                <w:sz w:val="24"/>
                <w:lang w:bidi="ar"/>
              </w:rPr>
            </w:pPr>
            <w:proofErr w:type="gramStart"/>
            <w:r>
              <w:rPr>
                <w:rFonts w:ascii="仿宋_GB2312" w:eastAsia="仿宋_GB2312" w:hAnsi="仿宋_GB2312" w:cs="仿宋_GB2312" w:hint="eastAsia"/>
                <w:sz w:val="24"/>
                <w:lang w:bidi="ar"/>
              </w:rPr>
              <w:t>陈艺方</w:t>
            </w:r>
            <w:proofErr w:type="gramEnd"/>
          </w:p>
        </w:tc>
        <w:tc>
          <w:tcPr>
            <w:tcW w:w="1583" w:type="dxa"/>
            <w:tcBorders>
              <w:top w:val="single" w:sz="4" w:space="0" w:color="auto"/>
              <w:left w:val="single" w:sz="4" w:space="0" w:color="auto"/>
              <w:bottom w:val="single" w:sz="4" w:space="0" w:color="auto"/>
              <w:right w:val="single" w:sz="4" w:space="0" w:color="auto"/>
            </w:tcBorders>
            <w:vAlign w:val="center"/>
          </w:tcPr>
          <w:p w14:paraId="46E4E661"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副主任护师</w:t>
            </w:r>
          </w:p>
        </w:tc>
        <w:tc>
          <w:tcPr>
            <w:tcW w:w="1538" w:type="dxa"/>
            <w:tcBorders>
              <w:top w:val="single" w:sz="4" w:space="0" w:color="auto"/>
              <w:left w:val="single" w:sz="4" w:space="0" w:color="auto"/>
              <w:bottom w:val="single" w:sz="4" w:space="0" w:color="auto"/>
              <w:right w:val="single" w:sz="4" w:space="0" w:color="auto"/>
            </w:tcBorders>
            <w:vAlign w:val="center"/>
          </w:tcPr>
          <w:p w14:paraId="5666FFFD"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护理</w:t>
            </w:r>
          </w:p>
        </w:tc>
        <w:tc>
          <w:tcPr>
            <w:tcW w:w="2386" w:type="dxa"/>
            <w:tcBorders>
              <w:top w:val="single" w:sz="4" w:space="0" w:color="auto"/>
              <w:left w:val="single" w:sz="4" w:space="0" w:color="auto"/>
              <w:bottom w:val="single" w:sz="4" w:space="0" w:color="auto"/>
              <w:right w:val="single" w:sz="4" w:space="0" w:color="auto"/>
            </w:tcBorders>
            <w:vAlign w:val="center"/>
          </w:tcPr>
          <w:p w14:paraId="4877643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274BE9D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7C3DDE0B"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48E5967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黄佩芸</w:t>
            </w:r>
          </w:p>
        </w:tc>
        <w:tc>
          <w:tcPr>
            <w:tcW w:w="1583" w:type="dxa"/>
            <w:tcBorders>
              <w:top w:val="single" w:sz="4" w:space="0" w:color="auto"/>
              <w:left w:val="single" w:sz="4" w:space="0" w:color="auto"/>
              <w:bottom w:val="single" w:sz="4" w:space="0" w:color="auto"/>
              <w:right w:val="single" w:sz="4" w:space="0" w:color="auto"/>
            </w:tcBorders>
            <w:vAlign w:val="center"/>
          </w:tcPr>
          <w:p w14:paraId="2AC9D6E7"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护士长/副主任护师</w:t>
            </w:r>
          </w:p>
        </w:tc>
        <w:tc>
          <w:tcPr>
            <w:tcW w:w="1538" w:type="dxa"/>
            <w:tcBorders>
              <w:top w:val="single" w:sz="4" w:space="0" w:color="auto"/>
              <w:left w:val="single" w:sz="4" w:space="0" w:color="auto"/>
              <w:bottom w:val="single" w:sz="4" w:space="0" w:color="auto"/>
              <w:right w:val="single" w:sz="4" w:space="0" w:color="auto"/>
            </w:tcBorders>
            <w:vAlign w:val="center"/>
          </w:tcPr>
          <w:p w14:paraId="1C4631F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护理</w:t>
            </w:r>
          </w:p>
        </w:tc>
        <w:tc>
          <w:tcPr>
            <w:tcW w:w="2386" w:type="dxa"/>
            <w:tcBorders>
              <w:top w:val="single" w:sz="4" w:space="0" w:color="auto"/>
              <w:left w:val="single" w:sz="4" w:space="0" w:color="auto"/>
              <w:bottom w:val="single" w:sz="4" w:space="0" w:color="auto"/>
              <w:right w:val="single" w:sz="4" w:space="0" w:color="auto"/>
            </w:tcBorders>
            <w:vAlign w:val="center"/>
          </w:tcPr>
          <w:p w14:paraId="4BF68BB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4C5BE3C5"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4BF3A21F"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6C7C5842"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银宵</w:t>
            </w:r>
          </w:p>
        </w:tc>
        <w:tc>
          <w:tcPr>
            <w:tcW w:w="1583" w:type="dxa"/>
            <w:tcBorders>
              <w:top w:val="single" w:sz="4" w:space="0" w:color="auto"/>
              <w:left w:val="single" w:sz="4" w:space="0" w:color="auto"/>
              <w:bottom w:val="single" w:sz="4" w:space="0" w:color="auto"/>
              <w:right w:val="single" w:sz="4" w:space="0" w:color="auto"/>
            </w:tcBorders>
            <w:vAlign w:val="center"/>
          </w:tcPr>
          <w:p w14:paraId="7952DD6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副主任护师</w:t>
            </w:r>
          </w:p>
        </w:tc>
        <w:tc>
          <w:tcPr>
            <w:tcW w:w="1538" w:type="dxa"/>
            <w:tcBorders>
              <w:top w:val="single" w:sz="4" w:space="0" w:color="auto"/>
              <w:left w:val="single" w:sz="4" w:space="0" w:color="auto"/>
              <w:bottom w:val="single" w:sz="4" w:space="0" w:color="auto"/>
              <w:right w:val="single" w:sz="4" w:space="0" w:color="auto"/>
            </w:tcBorders>
            <w:vAlign w:val="center"/>
          </w:tcPr>
          <w:p w14:paraId="7B03A063"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护理</w:t>
            </w:r>
          </w:p>
        </w:tc>
        <w:tc>
          <w:tcPr>
            <w:tcW w:w="2386" w:type="dxa"/>
            <w:tcBorders>
              <w:top w:val="single" w:sz="4" w:space="0" w:color="auto"/>
              <w:left w:val="single" w:sz="4" w:space="0" w:color="auto"/>
              <w:bottom w:val="single" w:sz="4" w:space="0" w:color="auto"/>
              <w:right w:val="single" w:sz="4" w:space="0" w:color="auto"/>
            </w:tcBorders>
            <w:vAlign w:val="center"/>
          </w:tcPr>
          <w:p w14:paraId="552CE130"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35C7C594"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r w:rsidR="004C43A5" w14:paraId="5E6D32FF" w14:textId="77777777">
        <w:trPr>
          <w:trHeight w:val="682"/>
          <w:jc w:val="center"/>
        </w:trPr>
        <w:tc>
          <w:tcPr>
            <w:tcW w:w="1005" w:type="dxa"/>
            <w:tcBorders>
              <w:top w:val="single" w:sz="4" w:space="0" w:color="auto"/>
              <w:left w:val="single" w:sz="4" w:space="0" w:color="auto"/>
              <w:bottom w:val="single" w:sz="4" w:space="0" w:color="auto"/>
              <w:right w:val="single" w:sz="4" w:space="0" w:color="auto"/>
            </w:tcBorders>
            <w:vAlign w:val="center"/>
          </w:tcPr>
          <w:p w14:paraId="5C9F538E"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邝亚琳</w:t>
            </w:r>
          </w:p>
        </w:tc>
        <w:tc>
          <w:tcPr>
            <w:tcW w:w="1583" w:type="dxa"/>
            <w:tcBorders>
              <w:top w:val="single" w:sz="4" w:space="0" w:color="auto"/>
              <w:left w:val="single" w:sz="4" w:space="0" w:color="auto"/>
              <w:bottom w:val="single" w:sz="4" w:space="0" w:color="auto"/>
              <w:right w:val="single" w:sz="4" w:space="0" w:color="auto"/>
            </w:tcBorders>
            <w:vAlign w:val="center"/>
          </w:tcPr>
          <w:p w14:paraId="675555A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主管护师</w:t>
            </w:r>
          </w:p>
        </w:tc>
        <w:tc>
          <w:tcPr>
            <w:tcW w:w="1538" w:type="dxa"/>
            <w:tcBorders>
              <w:top w:val="single" w:sz="4" w:space="0" w:color="auto"/>
              <w:left w:val="single" w:sz="4" w:space="0" w:color="auto"/>
              <w:bottom w:val="single" w:sz="4" w:space="0" w:color="auto"/>
              <w:right w:val="single" w:sz="4" w:space="0" w:color="auto"/>
            </w:tcBorders>
            <w:vAlign w:val="center"/>
          </w:tcPr>
          <w:p w14:paraId="4FC51861"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护理</w:t>
            </w:r>
          </w:p>
        </w:tc>
        <w:tc>
          <w:tcPr>
            <w:tcW w:w="2386" w:type="dxa"/>
            <w:tcBorders>
              <w:top w:val="single" w:sz="4" w:space="0" w:color="auto"/>
              <w:left w:val="single" w:sz="4" w:space="0" w:color="auto"/>
              <w:bottom w:val="single" w:sz="4" w:space="0" w:color="auto"/>
              <w:right w:val="single" w:sz="4" w:space="0" w:color="auto"/>
            </w:tcBorders>
            <w:vAlign w:val="center"/>
          </w:tcPr>
          <w:p w14:paraId="57451A1A"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广西国际壮医医院</w:t>
            </w:r>
          </w:p>
        </w:tc>
        <w:tc>
          <w:tcPr>
            <w:tcW w:w="2948" w:type="dxa"/>
            <w:tcBorders>
              <w:top w:val="single" w:sz="4" w:space="0" w:color="auto"/>
              <w:left w:val="single" w:sz="4" w:space="0" w:color="auto"/>
              <w:bottom w:val="single" w:sz="4" w:space="0" w:color="auto"/>
              <w:right w:val="single" w:sz="4" w:space="0" w:color="auto"/>
            </w:tcBorders>
            <w:vAlign w:val="center"/>
          </w:tcPr>
          <w:p w14:paraId="1107419F" w14:textId="77777777" w:rsidR="004C43A5" w:rsidRDefault="00000000">
            <w:pPr>
              <w:jc w:val="center"/>
              <w:rPr>
                <w:rFonts w:ascii="仿宋_GB2312" w:eastAsia="仿宋_GB2312" w:hAnsi="仿宋_GB2312" w:cs="仿宋_GB2312" w:hint="eastAsia"/>
                <w:sz w:val="24"/>
                <w:lang w:bidi="ar"/>
              </w:rPr>
            </w:pPr>
            <w:r>
              <w:rPr>
                <w:rFonts w:ascii="仿宋_GB2312" w:eastAsia="仿宋_GB2312" w:hAnsi="仿宋_GB2312" w:cs="仿宋_GB2312" w:hint="eastAsia"/>
                <w:sz w:val="24"/>
                <w:lang w:bidi="ar"/>
              </w:rPr>
              <w:t>对规范实施情况进行总结分析，不断对规范提出修正意见</w:t>
            </w:r>
          </w:p>
        </w:tc>
      </w:tr>
    </w:tbl>
    <w:p w14:paraId="1E4A505B" w14:textId="77777777" w:rsidR="004C43A5" w:rsidRDefault="00000000">
      <w:pPr>
        <w:spacing w:line="520" w:lineRule="exact"/>
        <w:ind w:firstLineChars="200" w:firstLine="640"/>
        <w:outlineLvl w:val="0"/>
        <w:rPr>
          <w:rFonts w:ascii="黑体" w:eastAsia="黑体" w:cs="仿宋_GB2312"/>
          <w:sz w:val="32"/>
          <w:szCs w:val="32"/>
        </w:rPr>
      </w:pPr>
      <w:r>
        <w:rPr>
          <w:rFonts w:ascii="黑体" w:eastAsia="黑体" w:cs="仿宋_GB2312" w:hint="eastAsia"/>
          <w:sz w:val="32"/>
          <w:szCs w:val="32"/>
        </w:rPr>
        <w:t>二、制定标准的必要性和意义</w:t>
      </w:r>
    </w:p>
    <w:p w14:paraId="23F9863B"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慢性疲劳综合征（壮文：嘘内（Heiq </w:t>
      </w:r>
      <w:proofErr w:type="spellStart"/>
      <w:r>
        <w:rPr>
          <w:rFonts w:ascii="仿宋_GB2312" w:eastAsia="仿宋_GB2312" w:hAnsi="仿宋_GB2312" w:cs="仿宋_GB2312" w:hint="eastAsia"/>
          <w:sz w:val="28"/>
          <w:szCs w:val="28"/>
        </w:rPr>
        <w:t>noix</w:t>
      </w:r>
      <w:proofErr w:type="spellEnd"/>
      <w:r>
        <w:rPr>
          <w:rFonts w:ascii="仿宋_GB2312" w:eastAsia="仿宋_GB2312" w:hAnsi="仿宋_GB2312" w:cs="仿宋_GB2312" w:hint="eastAsia"/>
          <w:sz w:val="28"/>
          <w:szCs w:val="28"/>
        </w:rPr>
        <w:t>））是一种以持续或反复发</w:t>
      </w:r>
      <w:r>
        <w:rPr>
          <w:rFonts w:ascii="仿宋_GB2312" w:eastAsia="仿宋_GB2312" w:hAnsi="仿宋_GB2312" w:cs="仿宋_GB2312" w:hint="eastAsia"/>
          <w:sz w:val="28"/>
          <w:szCs w:val="28"/>
        </w:rPr>
        <w:lastRenderedPageBreak/>
        <w:t>作的、难以通过休息缓解的深度疲惫感为核心，常伴有注意力不集中、肌肉酸痛、睡眠紊乱及情绪低落等多种身心症状的临床常见状态。流行病学数据显示，其患者群体规模庞大，仅在我国的患病人数估计即超过300万，且就诊需求持续增长。随着现代社会生活节奏加快与压力增大，受疲劳征困扰的人群日益增多，其症状的复杂性与反复性对患者的生活质量和工作能力构成了显著影响。</w:t>
      </w:r>
    </w:p>
    <w:p w14:paraId="369F50BD"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然而，慢性疲劳综合征的临床管理存在其特殊性，凸显了对多元化、综合性干预手段的客观需求。具体表现在：从病理机制看，疲劳征常涉及神经、内分泌、免疫等多系统的功能紊乱，而非单一器官病变。从临床表现看，患者症状主诉多样，且常伴有焦虑、抑郁等情绪心理问题，身心交互影响显著。从治疗现状看，现代医学尚缺乏以“疲劳”为直接靶点的特效药物，现有干预多以对症支持、认知行为疗法和生活方式调整为主。这些在病因多元性、症状复杂性及治疗综合性等方面存在的特点，共同构成了疲劳征临床管理的挑战，也为具有整体调节特色的传统医学技术提供了应用空间。</w:t>
      </w:r>
    </w:p>
    <w:p w14:paraId="18E92B32"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经筋针刺是壮医药特色外治技法的重要组成部分。该疗法以壮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“三道两路”理论、经</w:t>
      </w:r>
      <w:proofErr w:type="gramStart"/>
      <w:r>
        <w:rPr>
          <w:rFonts w:ascii="仿宋_GB2312" w:eastAsia="仿宋_GB2312" w:hAnsi="仿宋_GB2312" w:cs="仿宋_GB2312" w:hint="eastAsia"/>
          <w:sz w:val="28"/>
          <w:szCs w:val="28"/>
        </w:rPr>
        <w:t>筋理论</w:t>
      </w:r>
      <w:proofErr w:type="gramEnd"/>
      <w:r>
        <w:rPr>
          <w:rFonts w:ascii="仿宋_GB2312" w:eastAsia="仿宋_GB2312" w:hAnsi="仿宋_GB2312" w:cs="仿宋_GB2312" w:hint="eastAsia"/>
          <w:sz w:val="28"/>
          <w:szCs w:val="28"/>
        </w:rPr>
        <w:t>及“毒虚致病”学说为基础，紧密结合壮族民间医疗实践。其理论核心在于，认为人体存在一个与“龙路”、“火路”网络紧密关联的“经筋”系统，当外感毒邪、内伤虚损导致“道路”不通、“天、人、地”三气不能同步时，气血运行受阻，便在相应的“筋结”点（即经筋病变的阳性反应点，如压痛点、结节、条索状物）形成病灶，引发包括深度疲劳在内的各种病症。</w:t>
      </w:r>
    </w:p>
    <w:p w14:paraId="442ACA0C"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从原理与操作上看，壮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经筋针刺区别于传统中医针灸。它强调“查灶诊病、消灶治病”，操作时并不拘泥于固定的经络穴位，而是通过一套</w:t>
      </w:r>
      <w:r>
        <w:rPr>
          <w:rFonts w:ascii="仿宋_GB2312" w:eastAsia="仿宋_GB2312" w:hAnsi="仿宋_GB2312" w:cs="仿宋_GB2312" w:hint="eastAsia"/>
          <w:sz w:val="28"/>
          <w:szCs w:val="28"/>
        </w:rPr>
        <w:lastRenderedPageBreak/>
        <w:t>独特的“手触查灶”法（如循、摸、按、压、切、拔），在患者体表查找这些具有疾病反应特征的“筋结”点作为治疗靶点（即“壮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特定穴”）。然后，选用特制的毫针，采用“固灶行针”的手法，对“筋结”点进行挑治、</w:t>
      </w:r>
      <w:proofErr w:type="gramStart"/>
      <w:r>
        <w:rPr>
          <w:rFonts w:ascii="仿宋_GB2312" w:eastAsia="仿宋_GB2312" w:hAnsi="仿宋_GB2312" w:cs="仿宋_GB2312" w:hint="eastAsia"/>
          <w:sz w:val="28"/>
          <w:szCs w:val="28"/>
        </w:rPr>
        <w:t>刺治或</w:t>
      </w:r>
      <w:proofErr w:type="gramEnd"/>
      <w:r>
        <w:rPr>
          <w:rFonts w:ascii="仿宋_GB2312" w:eastAsia="仿宋_GB2312" w:hAnsi="仿宋_GB2312" w:cs="仿宋_GB2312" w:hint="eastAsia"/>
          <w:sz w:val="28"/>
          <w:szCs w:val="28"/>
        </w:rPr>
        <w:t>割治，旨在松解结灶、疏通“龙路”与“火路”、调节气血平衡、祛毒补虚，从而恢复“三道两路”畅通，使三气复归同步，达到治疗目的。</w:t>
      </w:r>
    </w:p>
    <w:p w14:paraId="389600A2"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经筋针刺技术在慢性疲劳综合征的干预管理中，展现出独特的理论契合性与多方面的应用价值。首先，该技术“以灶为</w:t>
      </w:r>
      <w:proofErr w:type="gramStart"/>
      <w:r>
        <w:rPr>
          <w:rFonts w:ascii="仿宋_GB2312" w:eastAsia="仿宋_GB2312" w:hAnsi="仿宋_GB2312" w:cs="仿宋_GB2312" w:hint="eastAsia"/>
          <w:sz w:val="28"/>
          <w:szCs w:val="28"/>
        </w:rPr>
        <w:t>腧</w:t>
      </w:r>
      <w:proofErr w:type="gramEnd"/>
      <w:r>
        <w:rPr>
          <w:rFonts w:ascii="仿宋_GB2312" w:eastAsia="仿宋_GB2312" w:hAnsi="仿宋_GB2312" w:cs="仿宋_GB2312" w:hint="eastAsia"/>
          <w:sz w:val="28"/>
          <w:szCs w:val="28"/>
        </w:rPr>
        <w:t>”、“消灶治病”的诊疗模式，与</w:t>
      </w:r>
      <w:proofErr w:type="gramStart"/>
      <w:r>
        <w:rPr>
          <w:rFonts w:ascii="仿宋_GB2312" w:eastAsia="仿宋_GB2312" w:hAnsi="仿宋_GB2312" w:cs="仿宋_GB2312" w:hint="eastAsia"/>
          <w:sz w:val="28"/>
          <w:szCs w:val="28"/>
        </w:rPr>
        <w:t>疲劳征多系统功能</w:t>
      </w:r>
      <w:proofErr w:type="gramEnd"/>
      <w:r>
        <w:rPr>
          <w:rFonts w:ascii="仿宋_GB2312" w:eastAsia="仿宋_GB2312" w:hAnsi="仿宋_GB2312" w:cs="仿宋_GB2312" w:hint="eastAsia"/>
          <w:sz w:val="28"/>
          <w:szCs w:val="28"/>
        </w:rPr>
        <w:t>紊乱、常于肌肉筋膜处形成特定压痛结节的临床特点高度契合。通过系统性的“手触查灶”，能够客观定位疲劳相关的主要反应点，使得干预更具个体化靶向性。在规范生活方式指导和必要心理调适的基础上，</w:t>
      </w:r>
      <w:proofErr w:type="gramStart"/>
      <w:r>
        <w:rPr>
          <w:rFonts w:ascii="仿宋_GB2312" w:eastAsia="仿宋_GB2312" w:hAnsi="仿宋_GB2312" w:cs="仿宋_GB2312" w:hint="eastAsia"/>
          <w:sz w:val="28"/>
          <w:szCs w:val="28"/>
        </w:rPr>
        <w:t>联合此</w:t>
      </w:r>
      <w:proofErr w:type="gramEnd"/>
      <w:r>
        <w:rPr>
          <w:rFonts w:ascii="仿宋_GB2312" w:eastAsia="仿宋_GB2312" w:hAnsi="仿宋_GB2312" w:cs="仿宋_GB2312" w:hint="eastAsia"/>
          <w:sz w:val="28"/>
          <w:szCs w:val="28"/>
        </w:rPr>
        <w:t>特色物理干预，有望为综合改善症状提供支持。</w:t>
      </w:r>
    </w:p>
    <w:p w14:paraId="6DA30B42"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其次，壮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强调整体调节与通路疏通。其松解“筋结”、畅通“两路”以恢复“三气同步”的核心治法，与慢性疲劳综合征需要调整整体功能状态的干预目标方向一致。慢性疲劳综合征患者除主观的疲惫感外，常伴随广泛的肌肉紧张、酸痛及功能失调。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通过直接松解软组织病变结点，理论上有助于改善局部血液循环、缓解肌肉异常紧张、调节相关神经反射，从而打破“疲劳-疼痛-功能失调”的恶性循环。一些初步的临床实践反馈提示，该疗法在缓解身体沉重感、肌肉酸痛及改善睡眠方面可能具有一定作用，显示出对疲劳</w:t>
      </w:r>
      <w:proofErr w:type="gramStart"/>
      <w:r>
        <w:rPr>
          <w:rFonts w:ascii="仿宋_GB2312" w:eastAsia="仿宋_GB2312" w:hAnsi="仿宋_GB2312" w:cs="仿宋_GB2312" w:hint="eastAsia"/>
          <w:sz w:val="28"/>
          <w:szCs w:val="28"/>
        </w:rPr>
        <w:t>征核心</w:t>
      </w:r>
      <w:proofErr w:type="gramEnd"/>
      <w:r>
        <w:rPr>
          <w:rFonts w:ascii="仿宋_GB2312" w:eastAsia="仿宋_GB2312" w:hAnsi="仿宋_GB2312" w:cs="仿宋_GB2312" w:hint="eastAsia"/>
          <w:sz w:val="28"/>
          <w:szCs w:val="28"/>
        </w:rPr>
        <w:t>与伴随症状的良好干预潜力。</w:t>
      </w:r>
    </w:p>
    <w:p w14:paraId="22F3DCF6"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此外，该疗法体现了壮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“调气、解毒、补虚、通路”的综合治疗思想。通过对体表“筋结”的刺激与松解，不仅旨在解除局部病灶，更着眼</w:t>
      </w:r>
      <w:r>
        <w:rPr>
          <w:rFonts w:ascii="仿宋_GB2312" w:eastAsia="仿宋_GB2312" w:hAnsi="仿宋_GB2312" w:cs="仿宋_GB2312" w:hint="eastAsia"/>
          <w:sz w:val="28"/>
          <w:szCs w:val="28"/>
        </w:rPr>
        <w:lastRenderedPageBreak/>
        <w:t>于激发人体自身调节能力，扶助正气，驱除“毒邪”，从整体上改善患者的机能状态。这种治疗与调理相结合的特点，为疲劳征这一慢性、复发性问题的长期管理提供了一种可供选择的思路。同时，该技术所需设备相对简单，在具备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执业资质的基层医疗机构即可开展，有助于提升民族地区基层健康服务能力，对于促进</w:t>
      </w:r>
      <w:proofErr w:type="gramStart"/>
      <w:r>
        <w:rPr>
          <w:rFonts w:ascii="仿宋_GB2312" w:eastAsia="仿宋_GB2312" w:hAnsi="仿宋_GB2312" w:cs="仿宋_GB2312" w:hint="eastAsia"/>
          <w:sz w:val="28"/>
          <w:szCs w:val="28"/>
        </w:rPr>
        <w:t>优质壮</w:t>
      </w:r>
      <w:proofErr w:type="gramEnd"/>
      <w:r>
        <w:rPr>
          <w:rFonts w:ascii="仿宋_GB2312" w:eastAsia="仿宋_GB2312" w:hAnsi="仿宋_GB2312" w:cs="仿宋_GB2312" w:hint="eastAsia"/>
          <w:sz w:val="28"/>
          <w:szCs w:val="28"/>
        </w:rPr>
        <w:t>医药技术资源下沉具有现实意义。</w:t>
      </w:r>
    </w:p>
    <w:p w14:paraId="0070981F"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经筋针刺作为一项具有鲜明民族特色的诊疗技术，近年来在广西及周边地区得到持续应用与推广。目前，广西区内已有8家医疗机构开展壮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经筋针刺治疗慢性疲劳综合征的相关服务，累计干预患者约3万人次，患者满意度达98%。</w:t>
      </w:r>
    </w:p>
    <w:p w14:paraId="7A888D10" w14:textId="77777777" w:rsidR="004C43A5" w:rsidRDefault="00000000">
      <w:pPr>
        <w:suppressAutoHyphens/>
        <w:spacing w:line="56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基于上述背景，为推动壮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这一特色技术从经验化传承向标准化、规范化应用发展，确保其治疗疲劳征的安全性、有效性与可重复性，提升其在慢性疲劳干预领域的学术价值与应用水平，促进壮医药的传承创新与科学推广，制定团体标准《壮医经筋针刺治疗慢性疲劳综合征操作规范》具有重要意义。</w:t>
      </w:r>
    </w:p>
    <w:p w14:paraId="63989AAB" w14:textId="77777777" w:rsidR="004C43A5" w:rsidRDefault="00000000">
      <w:pPr>
        <w:autoSpaceDE w:val="0"/>
        <w:autoSpaceDN w:val="0"/>
        <w:adjustRightInd w:val="0"/>
        <w:spacing w:line="520" w:lineRule="exact"/>
        <w:ind w:firstLineChars="200" w:firstLine="640"/>
        <w:jc w:val="left"/>
        <w:outlineLvl w:val="0"/>
        <w:rPr>
          <w:rFonts w:ascii="黑体" w:eastAsia="黑体" w:cs="仿宋_GB2312"/>
          <w:sz w:val="32"/>
          <w:szCs w:val="32"/>
        </w:rPr>
      </w:pPr>
      <w:r>
        <w:rPr>
          <w:rFonts w:ascii="黑体" w:eastAsia="黑体" w:cs="仿宋_GB2312" w:hint="eastAsia"/>
          <w:sz w:val="32"/>
          <w:szCs w:val="32"/>
        </w:rPr>
        <w:t>三、主要起草过程</w:t>
      </w:r>
    </w:p>
    <w:p w14:paraId="7072813D" w14:textId="77777777" w:rsidR="004C43A5" w:rsidRDefault="00000000">
      <w:pPr>
        <w:spacing w:line="520" w:lineRule="exact"/>
        <w:ind w:firstLineChars="200" w:firstLine="562"/>
        <w:outlineLvl w:val="1"/>
        <w:rPr>
          <w:rFonts w:ascii="仿宋_GB2312" w:eastAsia="仿宋_GB2312"/>
          <w:sz w:val="28"/>
          <w:szCs w:val="28"/>
        </w:rPr>
      </w:pPr>
      <w:r>
        <w:rPr>
          <w:rFonts w:ascii="仿宋_GB2312" w:eastAsia="仿宋_GB2312" w:cs="仿宋_GB2312" w:hint="eastAsia"/>
          <w:b/>
          <w:sz w:val="28"/>
          <w:szCs w:val="28"/>
        </w:rPr>
        <w:t>（一）成立标准编制工作组</w:t>
      </w:r>
    </w:p>
    <w:p w14:paraId="73D4E94F" w14:textId="77777777" w:rsidR="004C43A5" w:rsidRDefault="00000000">
      <w:pPr>
        <w:spacing w:line="520" w:lineRule="exact"/>
        <w:ind w:firstLineChars="200" w:firstLine="560"/>
        <w:jc w:val="left"/>
        <w:rPr>
          <w:rFonts w:ascii="仿宋_GB2312" w:eastAsia="仿宋_GB2312"/>
          <w:sz w:val="28"/>
          <w:szCs w:val="28"/>
        </w:rPr>
      </w:pPr>
      <w:r>
        <w:rPr>
          <w:rFonts w:ascii="仿宋_GB2312" w:eastAsia="仿宋_GB2312" w:hAnsi="宋体" w:hint="eastAsia"/>
          <w:sz w:val="28"/>
          <w:szCs w:val="28"/>
        </w:rPr>
        <w:t>团体标准</w:t>
      </w:r>
      <w:r>
        <w:rPr>
          <w:rFonts w:ascii="仿宋_GB2312" w:eastAsia="仿宋_GB2312" w:hint="eastAsia"/>
          <w:sz w:val="28"/>
          <w:szCs w:val="28"/>
        </w:rPr>
        <w:t>《壮医经筋针刺治疗慢性疲劳综合征操作规范》项目任务下达后，由广西国际壮医医院牵头组织成立了标准编制工作组，制定了起草编写方案与进度安排，明确任务职责，确定工作技术路线，开展标准研制工作。具体标准编制工作由起草单位相关人员配合完成。</w:t>
      </w:r>
    </w:p>
    <w:p w14:paraId="4A07681F" w14:textId="77777777" w:rsidR="004C43A5" w:rsidRDefault="00000000">
      <w:pPr>
        <w:spacing w:line="520" w:lineRule="exact"/>
        <w:ind w:firstLineChars="200" w:firstLine="560"/>
        <w:rPr>
          <w:rFonts w:ascii="仿宋_GB2312" w:eastAsia="仿宋_GB2312" w:cs="仿宋_GB2312"/>
          <w:sz w:val="28"/>
          <w:szCs w:val="28"/>
        </w:rPr>
      </w:pPr>
      <w:r>
        <w:rPr>
          <w:rFonts w:ascii="仿宋_GB2312" w:eastAsia="仿宋_GB2312" w:hint="eastAsia"/>
          <w:sz w:val="28"/>
          <w:szCs w:val="28"/>
        </w:rPr>
        <w:t>为明确标准编制的任务职责，确定工作技术路线，开展标准研制工作，标准编制工作组下设两个组，分别是资料收集组、草案编写组。资料收集组负责国内外有关壮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经筋针刺治疗慢性疲劳综合征操作方面的文献资料的查询、收集和整理工作，查阅前期对壮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经筋针刺治疗慢性疲劳综合征操作方面的有关研究情况和目前科学界壮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经筋针刺治疗慢性疲劳综</w:t>
      </w:r>
      <w:r>
        <w:rPr>
          <w:rFonts w:ascii="仿宋_GB2312" w:eastAsia="仿宋_GB2312" w:hint="eastAsia"/>
          <w:sz w:val="28"/>
          <w:szCs w:val="28"/>
        </w:rPr>
        <w:lastRenderedPageBreak/>
        <w:t>合征操作的研究进展；草案编写组负责起草标准草案及后续征求意见稿和标准编制说明、送审稿及编制说明等编写工作，包括后期召开征求意见会、网上征求意见，以及标准的不断修改和完善。</w:t>
      </w:r>
    </w:p>
    <w:p w14:paraId="193240CF" w14:textId="77777777" w:rsidR="004C43A5" w:rsidRDefault="00000000">
      <w:pPr>
        <w:spacing w:line="520" w:lineRule="exact"/>
        <w:ind w:firstLineChars="200" w:firstLine="562"/>
        <w:outlineLvl w:val="1"/>
        <w:rPr>
          <w:rFonts w:ascii="仿宋_GB2312" w:eastAsia="仿宋_GB2312" w:cs="仿宋_GB2312"/>
          <w:b/>
          <w:sz w:val="28"/>
          <w:szCs w:val="28"/>
        </w:rPr>
      </w:pPr>
      <w:r>
        <w:rPr>
          <w:rFonts w:ascii="仿宋_GB2312" w:eastAsia="仿宋_GB2312" w:cs="仿宋_GB2312" w:hint="eastAsia"/>
          <w:b/>
          <w:sz w:val="28"/>
          <w:szCs w:val="28"/>
        </w:rPr>
        <w:t>（二）收集整理文献资料</w:t>
      </w:r>
    </w:p>
    <w:p w14:paraId="37ED0CFB"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标准编制工作组收集了国内有关壮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经筋针刺治疗慢性疲劳综合征操作的相关文献资料。主要有：</w:t>
      </w:r>
    </w:p>
    <w:p w14:paraId="1C17D37A"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[1]黄瑾明，宋宁，黄凯，</w:t>
      </w:r>
      <w:proofErr w:type="gramStart"/>
      <w:r>
        <w:rPr>
          <w:rFonts w:ascii="仿宋_GB2312" w:eastAsia="仿宋_GB2312" w:hint="eastAsia"/>
          <w:sz w:val="28"/>
          <w:szCs w:val="28"/>
        </w:rPr>
        <w:t>苏曲之</w:t>
      </w:r>
      <w:proofErr w:type="gramEnd"/>
      <w:r>
        <w:rPr>
          <w:rFonts w:ascii="仿宋_GB2312" w:eastAsia="仿宋_GB2312" w:hint="eastAsia"/>
          <w:sz w:val="28"/>
          <w:szCs w:val="28"/>
        </w:rPr>
        <w:t>.壮</w:t>
      </w:r>
      <w:proofErr w:type="gramStart"/>
      <w:r>
        <w:rPr>
          <w:rFonts w:ascii="仿宋_GB2312" w:eastAsia="仿宋_GB2312" w:hint="eastAsia"/>
          <w:sz w:val="28"/>
          <w:szCs w:val="28"/>
        </w:rPr>
        <w:t>医</w:t>
      </w:r>
      <w:proofErr w:type="gramEnd"/>
      <w:r>
        <w:rPr>
          <w:rFonts w:ascii="仿宋_GB2312" w:eastAsia="仿宋_GB2312" w:hint="eastAsia"/>
          <w:sz w:val="28"/>
          <w:szCs w:val="28"/>
        </w:rPr>
        <w:t>针灸学[M].北京：中国中医药出版社，2017.</w:t>
      </w:r>
    </w:p>
    <w:p w14:paraId="59189E13"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[2]黄瑾明,宋宁，黄凯.中国壮</w:t>
      </w:r>
      <w:proofErr w:type="gramStart"/>
      <w:r>
        <w:rPr>
          <w:rFonts w:ascii="仿宋_GB2312" w:eastAsia="仿宋_GB2312" w:hint="eastAsia"/>
          <w:sz w:val="28"/>
          <w:szCs w:val="28"/>
        </w:rPr>
        <w:t>医</w:t>
      </w:r>
      <w:proofErr w:type="gramEnd"/>
      <w:r>
        <w:rPr>
          <w:rFonts w:ascii="仿宋_GB2312" w:eastAsia="仿宋_GB2312" w:hint="eastAsia"/>
          <w:sz w:val="28"/>
          <w:szCs w:val="28"/>
        </w:rPr>
        <w:t>针灸学[M].南宁：广西民族出版社，2010.</w:t>
      </w:r>
    </w:p>
    <w:p w14:paraId="207525EE" w14:textId="77777777" w:rsidR="004C43A5" w:rsidRDefault="00000000">
      <w:pPr>
        <w:spacing w:line="520" w:lineRule="exact"/>
        <w:ind w:firstLineChars="200" w:firstLine="562"/>
        <w:outlineLvl w:val="1"/>
        <w:rPr>
          <w:rFonts w:ascii="仿宋_GB2312" w:eastAsia="仿宋_GB2312" w:cs="仿宋_GB2312"/>
          <w:b/>
          <w:sz w:val="28"/>
          <w:szCs w:val="28"/>
        </w:rPr>
      </w:pPr>
      <w:r>
        <w:rPr>
          <w:rFonts w:ascii="仿宋_GB2312" w:eastAsia="仿宋_GB2312" w:cs="仿宋_GB2312" w:hint="eastAsia"/>
          <w:b/>
          <w:sz w:val="28"/>
          <w:szCs w:val="28"/>
        </w:rPr>
        <w:t>（三）研讨确定标准主体内容及标准创新点</w:t>
      </w:r>
    </w:p>
    <w:p w14:paraId="493CEBEF"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标准编制工作组在对收集的资料进行整理研究之后，召开了标准编制会议，对标准的整体框架结构进行了研究，并对标准的关键性内容进行了初步探讨。经过研究，标准的主体内容为壮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经筋针刺治疗慢性疲劳综合征操作的人员要求、三道两路辨证、施术前准备、施术、注意事项、健康指导等内容。</w:t>
      </w:r>
    </w:p>
    <w:p w14:paraId="41340CCF"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本标准创新点主要为：</w:t>
      </w:r>
    </w:p>
    <w:p w14:paraId="04DC4B00"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1. 该标准将壮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“谷道、水道、气道、龙路、火路”功能失调与慢性疲劳综合征的临床表现系统对应，每一型均明确列出症候、舌脉象、壮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目诊特征（如白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血管形态、色泽等）和壮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甲诊特征（如甲色、纹路等），使壮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辨证在慢性疲劳综合征诊疗中有了可操作的客观指标，这是首次在该病种领域系统整合壮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特色诊断方法。</w:t>
      </w:r>
    </w:p>
    <w:p w14:paraId="123604C3"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 标准明确定位了发旋穴、</w:t>
      </w:r>
      <w:proofErr w:type="gramStart"/>
      <w:r>
        <w:rPr>
          <w:rFonts w:ascii="仿宋_GB2312" w:eastAsia="仿宋_GB2312" w:hAnsi="仿宋_GB2312" w:cs="仿宋_GB2312" w:hint="eastAsia"/>
          <w:sz w:val="28"/>
          <w:szCs w:val="28"/>
        </w:rPr>
        <w:t>旋环穴</w:t>
      </w:r>
      <w:proofErr w:type="gramEnd"/>
      <w:r>
        <w:rPr>
          <w:rFonts w:ascii="仿宋_GB2312" w:eastAsia="仿宋_GB2312" w:hAnsi="仿宋_GB2312" w:cs="仿宋_GB2312" w:hint="eastAsia"/>
          <w:sz w:val="28"/>
          <w:szCs w:val="28"/>
        </w:rPr>
        <w:t>、安眠三穴、眉心穴、扁担穴、脐环穴（</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内环八穴、</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周四穴）、</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行穴、下关元等一组壮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特定穴，填补了这些穴位在慢性疲劳综合征治疗中的规范空白。同时，标准针对六种辨证分型分别规定了完整的配穴方案：谷道</w:t>
      </w:r>
      <w:proofErr w:type="gramStart"/>
      <w:r>
        <w:rPr>
          <w:rFonts w:ascii="仿宋_GB2312" w:eastAsia="仿宋_GB2312" w:hAnsi="仿宋_GB2312" w:cs="仿宋_GB2312" w:hint="eastAsia"/>
          <w:sz w:val="28"/>
          <w:szCs w:val="28"/>
        </w:rPr>
        <w:t>气虚证配手</w:t>
      </w:r>
      <w:proofErr w:type="gramEnd"/>
      <w:r>
        <w:rPr>
          <w:rFonts w:ascii="仿宋_GB2312" w:eastAsia="仿宋_GB2312" w:hAnsi="仿宋_GB2312" w:cs="仿宋_GB2312" w:hint="eastAsia"/>
          <w:sz w:val="28"/>
          <w:szCs w:val="28"/>
        </w:rPr>
        <w:t>三里、足三里；谷</w:t>
      </w:r>
      <w:r>
        <w:rPr>
          <w:rFonts w:ascii="仿宋_GB2312" w:eastAsia="仿宋_GB2312" w:hAnsi="仿宋_GB2312" w:cs="仿宋_GB2312" w:hint="eastAsia"/>
          <w:sz w:val="28"/>
          <w:szCs w:val="28"/>
        </w:rPr>
        <w:lastRenderedPageBreak/>
        <w:t>道不通证配上巨虚、下巨虚；水道不通</w:t>
      </w:r>
      <w:proofErr w:type="gramStart"/>
      <w:r>
        <w:rPr>
          <w:rFonts w:ascii="仿宋_GB2312" w:eastAsia="仿宋_GB2312" w:hAnsi="仿宋_GB2312" w:cs="仿宋_GB2312" w:hint="eastAsia"/>
          <w:sz w:val="28"/>
          <w:szCs w:val="28"/>
        </w:rPr>
        <w:t>证配筑</w:t>
      </w:r>
      <w:proofErr w:type="gramEnd"/>
      <w:r>
        <w:rPr>
          <w:rFonts w:ascii="仿宋_GB2312" w:eastAsia="仿宋_GB2312" w:hAnsi="仿宋_GB2312" w:cs="仿宋_GB2312" w:hint="eastAsia"/>
          <w:sz w:val="28"/>
          <w:szCs w:val="28"/>
        </w:rPr>
        <w:t>宾、三阴交；气道</w:t>
      </w:r>
      <w:proofErr w:type="gramStart"/>
      <w:r>
        <w:rPr>
          <w:rFonts w:ascii="仿宋_GB2312" w:eastAsia="仿宋_GB2312" w:hAnsi="仿宋_GB2312" w:cs="仿宋_GB2312" w:hint="eastAsia"/>
          <w:sz w:val="28"/>
          <w:szCs w:val="28"/>
        </w:rPr>
        <w:t>不通证配天</w:t>
      </w:r>
      <w:proofErr w:type="gramEnd"/>
      <w:r>
        <w:rPr>
          <w:rFonts w:ascii="仿宋_GB2312" w:eastAsia="仿宋_GB2312" w:hAnsi="仿宋_GB2312" w:cs="仿宋_GB2312" w:hint="eastAsia"/>
          <w:sz w:val="28"/>
          <w:szCs w:val="28"/>
        </w:rPr>
        <w:t>突、列缺；龙路</w:t>
      </w:r>
      <w:proofErr w:type="gramStart"/>
      <w:r>
        <w:rPr>
          <w:rFonts w:ascii="仿宋_GB2312" w:eastAsia="仿宋_GB2312" w:hAnsi="仿宋_GB2312" w:cs="仿宋_GB2312" w:hint="eastAsia"/>
          <w:sz w:val="28"/>
          <w:szCs w:val="28"/>
        </w:rPr>
        <w:t>瘀阻证配血海</w:t>
      </w:r>
      <w:proofErr w:type="gramEnd"/>
      <w:r>
        <w:rPr>
          <w:rFonts w:ascii="仿宋_GB2312" w:eastAsia="仿宋_GB2312" w:hAnsi="仿宋_GB2312" w:cs="仿宋_GB2312" w:hint="eastAsia"/>
          <w:sz w:val="28"/>
          <w:szCs w:val="28"/>
        </w:rPr>
        <w:t>、太冲；火路不通</w:t>
      </w:r>
      <w:proofErr w:type="gramStart"/>
      <w:r>
        <w:rPr>
          <w:rFonts w:ascii="仿宋_GB2312" w:eastAsia="仿宋_GB2312" w:hAnsi="仿宋_GB2312" w:cs="仿宋_GB2312" w:hint="eastAsia"/>
          <w:sz w:val="28"/>
          <w:szCs w:val="28"/>
        </w:rPr>
        <w:t>证配内</w:t>
      </w:r>
      <w:proofErr w:type="gramEnd"/>
      <w:r>
        <w:rPr>
          <w:rFonts w:ascii="仿宋_GB2312" w:eastAsia="仿宋_GB2312" w:hAnsi="仿宋_GB2312" w:cs="仿宋_GB2312" w:hint="eastAsia"/>
          <w:sz w:val="28"/>
          <w:szCs w:val="28"/>
        </w:rPr>
        <w:t>关、神门。这种将壮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特色主穴与“三道两路”辨证配穴相结合的处方模式，使临床选穴既有固定的壮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主穴基础，又有明确的辨证加减依据。</w:t>
      </w:r>
    </w:p>
    <w:p w14:paraId="3D616470"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3. 标准将治疗过程规范为“经筋摸结”（以切、循、按、摸、弹拔等手法分层触诊，发现筋结）和“经筋针刺”（以15°～30°斜刺至筋结点）两步，并规定每次治疗选取3～10个</w:t>
      </w:r>
      <w:proofErr w:type="gramStart"/>
      <w:r>
        <w:rPr>
          <w:rFonts w:ascii="仿宋_GB2312" w:eastAsia="仿宋_GB2312" w:hAnsi="仿宋_GB2312" w:cs="仿宋_GB2312" w:hint="eastAsia"/>
          <w:sz w:val="28"/>
          <w:szCs w:val="28"/>
        </w:rPr>
        <w:t>筋</w:t>
      </w:r>
      <w:proofErr w:type="gramEnd"/>
      <w:r>
        <w:rPr>
          <w:rFonts w:ascii="仿宋_GB2312" w:eastAsia="仿宋_GB2312" w:hAnsi="仿宋_GB2312" w:cs="仿宋_GB2312" w:hint="eastAsia"/>
          <w:sz w:val="28"/>
          <w:szCs w:val="28"/>
        </w:rPr>
        <w:t>结点作为针刺靶点，将筋结的判定、记录和针刺操作标准化，确立了壮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经筋针刺的独特技术路径。</w:t>
      </w:r>
    </w:p>
    <w:p w14:paraId="5C56EDFC" w14:textId="77777777" w:rsidR="004C43A5" w:rsidRDefault="00000000">
      <w:pPr>
        <w:spacing w:line="520" w:lineRule="exact"/>
        <w:ind w:firstLineChars="200" w:firstLine="562"/>
        <w:outlineLvl w:val="1"/>
        <w:rPr>
          <w:rFonts w:ascii="仿宋_GB2312" w:eastAsia="仿宋_GB2312" w:cs="仿宋_GB2312"/>
          <w:b/>
          <w:sz w:val="28"/>
          <w:szCs w:val="28"/>
        </w:rPr>
      </w:pPr>
      <w:r>
        <w:rPr>
          <w:rFonts w:ascii="仿宋_GB2312" w:eastAsia="仿宋_GB2312" w:cs="仿宋_GB2312" w:hint="eastAsia"/>
          <w:b/>
          <w:sz w:val="28"/>
          <w:szCs w:val="28"/>
        </w:rPr>
        <w:t>（四）调研及形成草案、征求意见稿</w:t>
      </w:r>
    </w:p>
    <w:p w14:paraId="0DF4B976" w14:textId="77777777" w:rsidR="004C43A5" w:rsidRDefault="00000000">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2025年12月，标准编制工作组查阅了大量的国内文献资料，对壮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经筋针刺治疗慢性疲劳综合征操作相关的文件进行系统总结。形成了标准的基本构架，对主要内容进行了讨论并对项目的工作进行了部署和安排。</w:t>
      </w:r>
    </w:p>
    <w:p w14:paraId="007BA057" w14:textId="77777777" w:rsidR="004C43A5" w:rsidRDefault="00000000">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2026年1月，团体标准《壮医经筋针刺治疗慢性疲劳综合征操作规范》获批立项，在前期工作的基础之上，通过理清逻辑脉络，整合已有参考资料中有关壮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经筋针刺治疗慢性疲劳综合征操作的要求，并在目前壮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经筋针刺治疗慢性疲劳综合征操作实际操作的基础上，按照简化、统一等原则编制完成团体标准《壮医经筋针刺治疗慢性疲劳综合征操作规范》（草案）。</w:t>
      </w:r>
    </w:p>
    <w:p w14:paraId="21C2CD20" w14:textId="77777777" w:rsidR="004C43A5" w:rsidRDefault="00000000">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2025年3月，标准编制工作组深入各地实施壮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经筋针刺治疗慢性疲劳综合征操作的有代表性的医院，如广西国际壮医医院、广西中医药大学第一附属医院、崇左市中医壮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医院、桂林市中医医院、百色市中医医院、贺州市中医医院、贵港市中医医院、玉林市红十字会医院等召开标准研讨会，收集反馈了大量意见，对标准草案进行了反复修改和研究讨论，掌握了壮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经筋针刺治疗慢性疲劳综合征操作的基本情况以及要求，最终形成了团体标准《壮医经筋针刺治疗慢性疲劳综合征操作规范》（征求意见稿）及其编制说明。</w:t>
      </w:r>
    </w:p>
    <w:p w14:paraId="4943FBD9" w14:textId="77777777" w:rsidR="004C43A5" w:rsidRDefault="00000000">
      <w:pPr>
        <w:jc w:val="center"/>
        <w:rPr>
          <w:rFonts w:ascii="仿宋_GB2312" w:eastAsia="仿宋_GB2312"/>
          <w:kern w:val="0"/>
          <w:sz w:val="28"/>
          <w:szCs w:val="28"/>
        </w:rPr>
      </w:pPr>
      <w:r>
        <w:rPr>
          <w:rFonts w:ascii="仿宋_GB2312" w:eastAsia="仿宋_GB2312" w:hint="eastAsia"/>
          <w:noProof/>
          <w:kern w:val="0"/>
          <w:sz w:val="28"/>
          <w:szCs w:val="28"/>
        </w:rPr>
        <w:lastRenderedPageBreak/>
        <w:drawing>
          <wp:inline distT="0" distB="0" distL="114300" distR="114300" wp14:anchorId="25B16F09" wp14:editId="22FD678A">
            <wp:extent cx="4683125" cy="3510915"/>
            <wp:effectExtent l="0" t="0" r="3175" b="13335"/>
            <wp:docPr id="3" name="图片 3" descr="b719e44ccea57b1adcd682819656b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719e44ccea57b1adcd682819656b067"/>
                    <pic:cNvPicPr>
                      <a:picLocks noChangeAspect="1"/>
                    </pic:cNvPicPr>
                  </pic:nvPicPr>
                  <pic:blipFill>
                    <a:blip r:embed="rId8"/>
                    <a:stretch>
                      <a:fillRect/>
                    </a:stretch>
                  </pic:blipFill>
                  <pic:spPr>
                    <a:xfrm>
                      <a:off x="0" y="0"/>
                      <a:ext cx="4683125" cy="3510915"/>
                    </a:xfrm>
                    <a:prstGeom prst="rect">
                      <a:avLst/>
                    </a:prstGeom>
                  </pic:spPr>
                </pic:pic>
              </a:graphicData>
            </a:graphic>
          </wp:inline>
        </w:drawing>
      </w:r>
    </w:p>
    <w:p w14:paraId="50219427" w14:textId="77777777" w:rsidR="004C43A5" w:rsidRDefault="00000000">
      <w:pPr>
        <w:jc w:val="center"/>
        <w:rPr>
          <w:rFonts w:ascii="黑体" w:eastAsia="黑体" w:hAnsi="黑体" w:cs="黑体" w:hint="eastAsia"/>
          <w:kern w:val="0"/>
          <w:sz w:val="24"/>
        </w:rPr>
      </w:pPr>
      <w:r>
        <w:rPr>
          <w:rFonts w:ascii="黑体" w:eastAsia="黑体" w:hAnsi="黑体" w:cs="黑体" w:hint="eastAsia"/>
          <w:kern w:val="0"/>
          <w:sz w:val="24"/>
        </w:rPr>
        <w:t>团体标准《壮医经筋针刺治疗慢性疲劳综合征操作规范》研讨会现场</w:t>
      </w:r>
    </w:p>
    <w:p w14:paraId="333D75EF" w14:textId="77777777" w:rsidR="004C43A5" w:rsidRDefault="00000000">
      <w:pPr>
        <w:jc w:val="center"/>
        <w:rPr>
          <w:rFonts w:ascii="黑体" w:eastAsia="黑体" w:hAnsi="黑体" w:cs="黑体" w:hint="eastAsia"/>
          <w:kern w:val="0"/>
          <w:sz w:val="24"/>
        </w:rPr>
      </w:pPr>
      <w:r>
        <w:rPr>
          <w:rFonts w:ascii="黑体" w:eastAsia="黑体" w:hAnsi="黑体" w:cs="黑体" w:hint="eastAsia"/>
          <w:noProof/>
          <w:kern w:val="0"/>
          <w:sz w:val="24"/>
        </w:rPr>
        <w:lastRenderedPageBreak/>
        <w:drawing>
          <wp:inline distT="0" distB="0" distL="114300" distR="114300" wp14:anchorId="6E79E69B" wp14:editId="5590C177">
            <wp:extent cx="4185920" cy="5003800"/>
            <wp:effectExtent l="9525" t="9525" r="14605" b="15875"/>
            <wp:docPr id="4" name="图片 4" descr="签到表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签到表_页面_1"/>
                    <pic:cNvPicPr>
                      <a:picLocks noChangeAspect="1"/>
                    </pic:cNvPicPr>
                  </pic:nvPicPr>
                  <pic:blipFill>
                    <a:blip r:embed="rId9"/>
                    <a:srcRect t="5174" b="10357"/>
                    <a:stretch>
                      <a:fillRect/>
                    </a:stretch>
                  </pic:blipFill>
                  <pic:spPr>
                    <a:xfrm>
                      <a:off x="0" y="0"/>
                      <a:ext cx="4185920" cy="5003800"/>
                    </a:xfrm>
                    <a:prstGeom prst="rect">
                      <a:avLst/>
                    </a:prstGeom>
                    <a:ln>
                      <a:solidFill>
                        <a:schemeClr val="tx1"/>
                      </a:solidFill>
                    </a:ln>
                  </pic:spPr>
                </pic:pic>
              </a:graphicData>
            </a:graphic>
          </wp:inline>
        </w:drawing>
      </w:r>
    </w:p>
    <w:p w14:paraId="57E21C87" w14:textId="77777777" w:rsidR="004C43A5" w:rsidRDefault="00000000">
      <w:pPr>
        <w:jc w:val="center"/>
        <w:rPr>
          <w:rFonts w:ascii="黑体" w:eastAsia="黑体" w:hAnsi="黑体" w:cs="黑体" w:hint="eastAsia"/>
          <w:kern w:val="0"/>
          <w:sz w:val="24"/>
        </w:rPr>
      </w:pPr>
      <w:r>
        <w:rPr>
          <w:rFonts w:ascii="黑体" w:eastAsia="黑体" w:hAnsi="黑体" w:cs="黑体" w:hint="eastAsia"/>
          <w:kern w:val="0"/>
          <w:sz w:val="24"/>
        </w:rPr>
        <w:t>团体标准《壮医经筋针刺治疗慢性疲劳综合征操作规范》研讨会签到表</w:t>
      </w:r>
    </w:p>
    <w:p w14:paraId="186D448E" w14:textId="77777777" w:rsidR="004C43A5" w:rsidRDefault="00000000">
      <w:pPr>
        <w:autoSpaceDE w:val="0"/>
        <w:autoSpaceDN w:val="0"/>
        <w:adjustRightInd w:val="0"/>
        <w:spacing w:line="520" w:lineRule="exact"/>
        <w:ind w:firstLineChars="200" w:firstLine="640"/>
        <w:jc w:val="left"/>
        <w:outlineLvl w:val="0"/>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14:paraId="32EBC970" w14:textId="77777777" w:rsidR="004C43A5" w:rsidRDefault="00000000">
      <w:pPr>
        <w:widowControl/>
        <w:tabs>
          <w:tab w:val="center" w:pos="4201"/>
          <w:tab w:val="right" w:leader="dot" w:pos="9298"/>
        </w:tabs>
        <w:autoSpaceDE w:val="0"/>
        <w:autoSpaceDN w:val="0"/>
        <w:spacing w:line="520" w:lineRule="exact"/>
        <w:ind w:firstLineChars="200" w:firstLine="562"/>
        <w:outlineLvl w:val="1"/>
        <w:rPr>
          <w:rFonts w:ascii="仿宋_GB2312" w:eastAsia="仿宋_GB2312"/>
          <w:b/>
          <w:bCs/>
          <w:kern w:val="0"/>
          <w:sz w:val="28"/>
          <w:szCs w:val="28"/>
        </w:rPr>
      </w:pPr>
      <w:r>
        <w:rPr>
          <w:rFonts w:ascii="仿宋_GB2312" w:eastAsia="仿宋_GB2312" w:hint="eastAsia"/>
          <w:b/>
          <w:bCs/>
          <w:kern w:val="0"/>
          <w:sz w:val="28"/>
          <w:szCs w:val="28"/>
        </w:rPr>
        <w:t>（一）编制原则</w:t>
      </w:r>
    </w:p>
    <w:p w14:paraId="1A9B9CF7" w14:textId="77777777" w:rsidR="004C43A5" w:rsidRDefault="00000000">
      <w:pPr>
        <w:spacing w:line="520" w:lineRule="exact"/>
        <w:ind w:firstLineChars="200" w:firstLine="562"/>
        <w:rPr>
          <w:rFonts w:ascii="仿宋_GB2312" w:eastAsia="仿宋_GB2312"/>
          <w:b/>
          <w:sz w:val="28"/>
          <w:szCs w:val="28"/>
        </w:rPr>
      </w:pPr>
      <w:r>
        <w:rPr>
          <w:rFonts w:ascii="仿宋_GB2312" w:eastAsia="仿宋_GB2312" w:hint="eastAsia"/>
          <w:b/>
          <w:sz w:val="28"/>
          <w:szCs w:val="28"/>
        </w:rPr>
        <w:t>1.实用性原则</w:t>
      </w:r>
    </w:p>
    <w:p w14:paraId="5EE169F3" w14:textId="77777777" w:rsidR="004C43A5" w:rsidRDefault="00000000">
      <w:pPr>
        <w:spacing w:line="520" w:lineRule="exact"/>
        <w:ind w:firstLineChars="200" w:firstLine="560"/>
        <w:rPr>
          <w:rFonts w:ascii="仿宋_GB2312" w:eastAsia="仿宋_GB2312" w:cs="仿宋"/>
          <w:sz w:val="28"/>
          <w:szCs w:val="28"/>
        </w:rPr>
      </w:pPr>
      <w:r>
        <w:rPr>
          <w:rFonts w:ascii="仿宋_GB2312" w:eastAsia="仿宋_GB2312" w:cs="仿宋" w:hint="eastAsia"/>
          <w:sz w:val="28"/>
          <w:szCs w:val="28"/>
        </w:rPr>
        <w:t>本标准是在充分收集国内外相关资料和文献、调研分析</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cs="仿宋" w:hint="eastAsia"/>
          <w:sz w:val="28"/>
          <w:szCs w:val="28"/>
        </w:rPr>
        <w:t>现状，结合起草单位前期研究工作取得的研究成果及积累的</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cs="仿宋" w:hint="eastAsia"/>
          <w:sz w:val="28"/>
          <w:szCs w:val="28"/>
        </w:rPr>
        <w:t>实践经验，并借鉴国内</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cs="仿宋" w:hint="eastAsia"/>
          <w:sz w:val="28"/>
          <w:szCs w:val="28"/>
        </w:rPr>
        <w:t>进行总结起草的，符合工作实际，利于</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cs="仿宋" w:hint="eastAsia"/>
          <w:sz w:val="28"/>
          <w:szCs w:val="28"/>
        </w:rPr>
        <w:t>的实施与推广，具有可操作性和实用性。</w:t>
      </w:r>
    </w:p>
    <w:p w14:paraId="08AA6E4A" w14:textId="77777777" w:rsidR="004C43A5" w:rsidRDefault="00000000">
      <w:pPr>
        <w:spacing w:line="520" w:lineRule="exact"/>
        <w:ind w:firstLineChars="200" w:firstLine="562"/>
        <w:rPr>
          <w:rFonts w:ascii="仿宋_GB2312" w:eastAsia="仿宋_GB2312"/>
          <w:b/>
          <w:sz w:val="28"/>
          <w:szCs w:val="28"/>
        </w:rPr>
      </w:pPr>
      <w:r>
        <w:rPr>
          <w:rFonts w:ascii="仿宋_GB2312" w:eastAsia="仿宋_GB2312" w:hint="eastAsia"/>
          <w:b/>
          <w:sz w:val="28"/>
          <w:szCs w:val="28"/>
        </w:rPr>
        <w:lastRenderedPageBreak/>
        <w:t>2.协调性原则</w:t>
      </w:r>
    </w:p>
    <w:p w14:paraId="0D55CCA6"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本文件编写过程中注意了与</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hint="eastAsia"/>
          <w:sz w:val="28"/>
          <w:szCs w:val="28"/>
        </w:rPr>
        <w:t>相关法律法规的协调问题，在内容上与现行法律法规、标准协调一致。</w:t>
      </w:r>
    </w:p>
    <w:p w14:paraId="2F98C5E3" w14:textId="77777777" w:rsidR="004C43A5" w:rsidRDefault="00000000">
      <w:pPr>
        <w:spacing w:line="520" w:lineRule="exact"/>
        <w:ind w:firstLineChars="200" w:firstLine="562"/>
        <w:rPr>
          <w:rFonts w:ascii="仿宋_GB2312" w:eastAsia="仿宋_GB2312"/>
          <w:b/>
          <w:sz w:val="28"/>
          <w:szCs w:val="28"/>
        </w:rPr>
      </w:pPr>
      <w:r>
        <w:rPr>
          <w:rFonts w:ascii="仿宋_GB2312" w:eastAsia="仿宋_GB2312" w:hint="eastAsia"/>
          <w:b/>
          <w:sz w:val="28"/>
          <w:szCs w:val="28"/>
        </w:rPr>
        <w:t>3.规范性原则</w:t>
      </w:r>
    </w:p>
    <w:p w14:paraId="12EC572E"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本文件严格按照GB/T 1.1—2020《标准化工作导则  第1部分：标准化文件的结构和起草规则》编写本标准的内容，保证标准的编写质量。</w:t>
      </w:r>
    </w:p>
    <w:p w14:paraId="0FD93EA7" w14:textId="77777777" w:rsidR="004C43A5" w:rsidRDefault="00000000">
      <w:pPr>
        <w:spacing w:line="520" w:lineRule="exact"/>
        <w:ind w:firstLineChars="200" w:firstLine="562"/>
        <w:rPr>
          <w:rFonts w:ascii="仿宋_GB2312" w:eastAsia="仿宋_GB2312"/>
          <w:b/>
          <w:sz w:val="28"/>
          <w:szCs w:val="28"/>
        </w:rPr>
      </w:pPr>
      <w:r>
        <w:rPr>
          <w:rFonts w:ascii="仿宋_GB2312" w:eastAsia="仿宋_GB2312" w:hint="eastAsia"/>
          <w:b/>
          <w:sz w:val="28"/>
          <w:szCs w:val="28"/>
        </w:rPr>
        <w:t>4.前瞻性原则</w:t>
      </w:r>
    </w:p>
    <w:p w14:paraId="1C455653"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本文件在兼顾当前区内</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hint="eastAsia"/>
          <w:sz w:val="28"/>
          <w:szCs w:val="28"/>
        </w:rPr>
        <w:t>现实情况的同时，还考虑到了</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hint="eastAsia"/>
          <w:sz w:val="28"/>
          <w:szCs w:val="28"/>
        </w:rPr>
        <w:t>的需要，在标准中体现了个别特色性、前瞻性和先进性条款，作为对</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hint="eastAsia"/>
          <w:sz w:val="28"/>
          <w:szCs w:val="28"/>
        </w:rPr>
        <w:t>发展的指导。</w:t>
      </w:r>
    </w:p>
    <w:p w14:paraId="2B0D76D6" w14:textId="77777777" w:rsidR="004C43A5" w:rsidRDefault="00000000">
      <w:pPr>
        <w:spacing w:line="520" w:lineRule="exact"/>
        <w:ind w:firstLineChars="200" w:firstLine="562"/>
        <w:outlineLvl w:val="1"/>
        <w:rPr>
          <w:rFonts w:ascii="仿宋_GB2312" w:eastAsia="仿宋_GB2312"/>
          <w:b/>
          <w:bCs/>
          <w:sz w:val="28"/>
          <w:szCs w:val="28"/>
        </w:rPr>
      </w:pPr>
      <w:r>
        <w:rPr>
          <w:rFonts w:ascii="仿宋_GB2312" w:eastAsia="仿宋_GB2312" w:hint="eastAsia"/>
          <w:b/>
          <w:bCs/>
          <w:sz w:val="28"/>
          <w:szCs w:val="28"/>
        </w:rPr>
        <w:t>（二）编制依据</w:t>
      </w:r>
    </w:p>
    <w:p w14:paraId="3E94AA90"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本标准严格按照GB/T 1.1—2020《标准化工作导则  第1部分：标准化文件的结构和起草规则》的规则起草，标准主要内容依据起草单位在</w:t>
      </w:r>
      <w:r>
        <w:rPr>
          <w:rFonts w:ascii="仿宋_GB2312" w:eastAsia="仿宋_GB2312" w:hint="eastAsia"/>
          <w:kern w:val="0"/>
          <w:sz w:val="28"/>
          <w:szCs w:val="28"/>
        </w:rPr>
        <w:t>壮</w:t>
      </w:r>
      <w:proofErr w:type="gramStart"/>
      <w:r>
        <w:rPr>
          <w:rFonts w:ascii="仿宋_GB2312" w:eastAsia="仿宋_GB2312" w:hint="eastAsia"/>
          <w:kern w:val="0"/>
          <w:sz w:val="28"/>
          <w:szCs w:val="28"/>
        </w:rPr>
        <w:t>医</w:t>
      </w:r>
      <w:proofErr w:type="gramEnd"/>
      <w:r>
        <w:rPr>
          <w:rFonts w:ascii="仿宋_GB2312" w:eastAsia="仿宋_GB2312" w:hint="eastAsia"/>
          <w:kern w:val="0"/>
          <w:sz w:val="28"/>
          <w:szCs w:val="28"/>
        </w:rPr>
        <w:t>经筋针刺治疗慢性疲劳综合征操作</w:t>
      </w:r>
      <w:r>
        <w:rPr>
          <w:rFonts w:ascii="仿宋_GB2312" w:eastAsia="仿宋_GB2312" w:hint="eastAsia"/>
          <w:sz w:val="28"/>
          <w:szCs w:val="28"/>
        </w:rPr>
        <w:t>研究应用过程中的实践经验确定。</w:t>
      </w:r>
    </w:p>
    <w:p w14:paraId="68602057" w14:textId="77777777" w:rsidR="004C43A5" w:rsidRDefault="00000000">
      <w:pPr>
        <w:spacing w:line="520" w:lineRule="exact"/>
        <w:ind w:firstLineChars="200" w:firstLine="562"/>
        <w:outlineLvl w:val="1"/>
        <w:rPr>
          <w:rFonts w:ascii="仿宋_GB2312" w:eastAsia="仿宋_GB2312"/>
          <w:b/>
          <w:bCs/>
          <w:sz w:val="28"/>
          <w:szCs w:val="28"/>
        </w:rPr>
      </w:pPr>
      <w:r>
        <w:rPr>
          <w:rFonts w:ascii="仿宋_GB2312" w:eastAsia="仿宋_GB2312" w:hint="eastAsia"/>
          <w:b/>
          <w:bCs/>
          <w:sz w:val="28"/>
          <w:szCs w:val="28"/>
        </w:rPr>
        <w:t>（三）与现行法律法规的关系，与有关国家标准、行业标准的协调情况</w:t>
      </w:r>
    </w:p>
    <w:p w14:paraId="4AC59521" w14:textId="77777777" w:rsidR="004C43A5" w:rsidRDefault="00000000">
      <w:pPr>
        <w:adjustRightInd w:val="0"/>
        <w:snapToGrid w:val="0"/>
        <w:spacing w:line="520" w:lineRule="exact"/>
        <w:ind w:firstLineChars="200" w:firstLine="560"/>
        <w:rPr>
          <w:rFonts w:ascii="仿宋_GB2312" w:eastAsia="仿宋_GB2312"/>
          <w:sz w:val="28"/>
          <w:szCs w:val="28"/>
        </w:rPr>
      </w:pPr>
      <w:r>
        <w:rPr>
          <w:rFonts w:ascii="仿宋_GB2312" w:eastAsia="仿宋_GB2312" w:hint="eastAsia"/>
          <w:sz w:val="28"/>
          <w:szCs w:val="28"/>
        </w:rPr>
        <w:t>经查阅，目前国内外没有与“壮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经筋针刺治疗疲劳征综合操作规范”现行相关的国家、行业、地方和团体标准，无相关指南。</w:t>
      </w:r>
    </w:p>
    <w:p w14:paraId="18F6DF91" w14:textId="77777777" w:rsidR="004C43A5" w:rsidRDefault="00000000">
      <w:pPr>
        <w:adjustRightInd w:val="0"/>
        <w:snapToGrid w:val="0"/>
        <w:spacing w:line="520" w:lineRule="exact"/>
        <w:ind w:firstLineChars="200" w:firstLine="560"/>
        <w:rPr>
          <w:rFonts w:ascii="仿宋_GB2312" w:eastAsia="仿宋_GB2312"/>
          <w:sz w:val="28"/>
          <w:szCs w:val="28"/>
        </w:rPr>
      </w:pPr>
      <w:r>
        <w:rPr>
          <w:rFonts w:ascii="仿宋_GB2312" w:eastAsia="仿宋_GB2312" w:hint="eastAsia"/>
          <w:sz w:val="28"/>
          <w:szCs w:val="28"/>
        </w:rPr>
        <w:t>本标准的制定将填补行业空白，因此制定团体标准《壮医经筋针刺治疗疲劳征综合操作规范》具有创新性，先进性。</w:t>
      </w:r>
    </w:p>
    <w:p w14:paraId="51EB8994" w14:textId="77777777" w:rsidR="004C43A5" w:rsidRDefault="00000000">
      <w:pPr>
        <w:adjustRightInd w:val="0"/>
        <w:snapToGrid w:val="0"/>
        <w:spacing w:line="520" w:lineRule="exact"/>
        <w:ind w:firstLineChars="200" w:firstLine="560"/>
        <w:rPr>
          <w:rFonts w:ascii="仿宋_GB2312" w:eastAsia="仿宋_GB2312"/>
          <w:sz w:val="28"/>
          <w:szCs w:val="28"/>
        </w:rPr>
      </w:pPr>
      <w:r>
        <w:rPr>
          <w:rFonts w:ascii="仿宋_GB2312" w:eastAsia="仿宋_GB2312" w:hint="eastAsia"/>
          <w:sz w:val="28"/>
          <w:szCs w:val="28"/>
        </w:rPr>
        <w:t>当前未制定有团体标准《壮医经筋针刺治疗慢性疲劳综合征操作规范》。</w:t>
      </w:r>
    </w:p>
    <w:p w14:paraId="5409CCAE" w14:textId="77777777" w:rsidR="004C43A5" w:rsidRDefault="00000000">
      <w:pPr>
        <w:adjustRightInd w:val="0"/>
        <w:snapToGrid w:val="0"/>
        <w:spacing w:line="520" w:lineRule="exact"/>
        <w:ind w:firstLineChars="200" w:firstLine="560"/>
        <w:rPr>
          <w:rFonts w:ascii="仿宋_GB2312" w:eastAsia="仿宋_GB2312"/>
          <w:sz w:val="28"/>
          <w:szCs w:val="28"/>
        </w:rPr>
      </w:pPr>
      <w:r>
        <w:rPr>
          <w:rFonts w:ascii="仿宋_GB2312" w:eastAsia="仿宋_GB2312" w:hint="eastAsia"/>
          <w:sz w:val="28"/>
          <w:szCs w:val="28"/>
        </w:rPr>
        <w:t>本标准的内容与现行的法律法规及强制性标准无冲突，标准的编写符合GB/T 1.1—2020的要求。</w:t>
      </w:r>
    </w:p>
    <w:p w14:paraId="16FE07DB" w14:textId="77777777" w:rsidR="004C43A5" w:rsidRDefault="00000000">
      <w:pPr>
        <w:spacing w:before="240" w:after="60" w:line="520" w:lineRule="exact"/>
        <w:ind w:firstLineChars="200" w:firstLine="640"/>
        <w:jc w:val="left"/>
        <w:outlineLvl w:val="0"/>
        <w:rPr>
          <w:rFonts w:ascii="仿宋_GB2312" w:eastAsia="仿宋_GB2312" w:cs="仿宋"/>
          <w:bCs/>
          <w:sz w:val="28"/>
          <w:szCs w:val="28"/>
        </w:rPr>
      </w:pPr>
      <w:r>
        <w:rPr>
          <w:rFonts w:ascii="黑体" w:eastAsia="黑体" w:hint="eastAsia"/>
          <w:bCs/>
          <w:sz w:val="32"/>
          <w:szCs w:val="32"/>
        </w:rPr>
        <w:t>五、主要条款的说明</w:t>
      </w:r>
    </w:p>
    <w:p w14:paraId="2A800B77" w14:textId="77777777"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lastRenderedPageBreak/>
        <w:t>（一）术语和定义</w:t>
      </w:r>
    </w:p>
    <w:p w14:paraId="0D44A2D5"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壮</w:t>
      </w:r>
      <w:proofErr w:type="gramStart"/>
      <w:r>
        <w:rPr>
          <w:rFonts w:ascii="仿宋_GB2312" w:eastAsia="仿宋_GB2312" w:hAnsi="仿宋_GB2312" w:cs="仿宋_GB2312" w:hint="eastAsia"/>
          <w:b/>
          <w:bCs w:val="0"/>
          <w:sz w:val="28"/>
          <w:szCs w:val="28"/>
        </w:rPr>
        <w:t>医</w:t>
      </w:r>
      <w:proofErr w:type="gramEnd"/>
      <w:r>
        <w:rPr>
          <w:rFonts w:ascii="仿宋_GB2312" w:eastAsia="仿宋_GB2312" w:hAnsi="仿宋_GB2312" w:cs="仿宋_GB2312" w:hint="eastAsia"/>
          <w:b/>
          <w:bCs w:val="0"/>
          <w:sz w:val="28"/>
          <w:szCs w:val="28"/>
        </w:rPr>
        <w:t>经筋针刺</w:t>
      </w:r>
    </w:p>
    <w:p w14:paraId="1D278D9D"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定义源于古典十二经</w:t>
      </w:r>
      <w:proofErr w:type="gramStart"/>
      <w:r>
        <w:rPr>
          <w:rFonts w:ascii="仿宋_GB2312" w:eastAsia="仿宋_GB2312" w:hAnsi="仿宋_GB2312" w:cs="仿宋_GB2312" w:hint="eastAsia"/>
          <w:sz w:val="28"/>
          <w:szCs w:val="28"/>
        </w:rPr>
        <w:t>筋理论</w:t>
      </w:r>
      <w:proofErr w:type="gramEnd"/>
      <w:r>
        <w:rPr>
          <w:rFonts w:ascii="仿宋_GB2312" w:eastAsia="仿宋_GB2312" w:hAnsi="仿宋_GB2312" w:cs="仿宋_GB2312" w:hint="eastAsia"/>
          <w:sz w:val="28"/>
          <w:szCs w:val="28"/>
        </w:rPr>
        <w:t>与壮族民间</w:t>
      </w:r>
      <w:proofErr w:type="gramStart"/>
      <w:r>
        <w:rPr>
          <w:rFonts w:ascii="仿宋_GB2312" w:eastAsia="仿宋_GB2312" w:hAnsi="仿宋_GB2312" w:cs="仿宋_GB2312" w:hint="eastAsia"/>
          <w:sz w:val="28"/>
          <w:szCs w:val="28"/>
        </w:rPr>
        <w:t>理筋术的</w:t>
      </w:r>
      <w:proofErr w:type="gramEnd"/>
      <w:r>
        <w:rPr>
          <w:rFonts w:ascii="仿宋_GB2312" w:eastAsia="仿宋_GB2312" w:hAnsi="仿宋_GB2312" w:cs="仿宋_GB2312" w:hint="eastAsia"/>
          <w:sz w:val="28"/>
          <w:szCs w:val="28"/>
        </w:rPr>
        <w:t>结合，前者出自《灵枢·经筋》奠定学术根基，后者则是在壮族地区长期临床实践中形成的经验积累，二者共同构成该针法的理论源头；其核心操作体现为</w:t>
      </w:r>
      <w:proofErr w:type="gramStart"/>
      <w:r>
        <w:rPr>
          <w:rFonts w:ascii="仿宋_GB2312" w:eastAsia="仿宋_GB2312" w:hAnsi="仿宋_GB2312" w:cs="仿宋_GB2312" w:hint="eastAsia"/>
          <w:sz w:val="28"/>
          <w:szCs w:val="28"/>
        </w:rPr>
        <w:t>先以触诊</w:t>
      </w:r>
      <w:proofErr w:type="gramEnd"/>
      <w:r>
        <w:rPr>
          <w:rFonts w:ascii="仿宋_GB2312" w:eastAsia="仿宋_GB2312" w:hAnsi="仿宋_GB2312" w:cs="仿宋_GB2312" w:hint="eastAsia"/>
          <w:sz w:val="28"/>
          <w:szCs w:val="28"/>
        </w:rPr>
        <w:t>发现筋结、再以针刺解结的完整过程，诊断与治疗一体正是该技术区别于单纯针刺的实质特征；治疗功效则落脚于祛除风、湿、</w:t>
      </w:r>
      <w:proofErr w:type="gramStart"/>
      <w:r>
        <w:rPr>
          <w:rFonts w:ascii="仿宋_GB2312" w:eastAsia="仿宋_GB2312" w:hAnsi="仿宋_GB2312" w:cs="仿宋_GB2312" w:hint="eastAsia"/>
          <w:sz w:val="28"/>
          <w:szCs w:val="28"/>
        </w:rPr>
        <w:t>瘀</w:t>
      </w:r>
      <w:proofErr w:type="gramEnd"/>
      <w:r>
        <w:rPr>
          <w:rFonts w:ascii="仿宋_GB2312" w:eastAsia="仿宋_GB2312" w:hAnsi="仿宋_GB2312" w:cs="仿宋_GB2312" w:hint="eastAsia"/>
          <w:sz w:val="28"/>
          <w:szCs w:val="28"/>
        </w:rPr>
        <w:t>、</w:t>
      </w:r>
      <w:proofErr w:type="gramStart"/>
      <w:r>
        <w:rPr>
          <w:rFonts w:ascii="仿宋_GB2312" w:eastAsia="仿宋_GB2312" w:hAnsi="仿宋_GB2312" w:cs="仿宋_GB2312" w:hint="eastAsia"/>
          <w:sz w:val="28"/>
          <w:szCs w:val="28"/>
        </w:rPr>
        <w:t>寒四毒及</w:t>
      </w:r>
      <w:proofErr w:type="gramEnd"/>
      <w:r>
        <w:rPr>
          <w:rFonts w:ascii="仿宋_GB2312" w:eastAsia="仿宋_GB2312" w:hAnsi="仿宋_GB2312" w:cs="仿宋_GB2312" w:hint="eastAsia"/>
          <w:sz w:val="28"/>
          <w:szCs w:val="28"/>
        </w:rPr>
        <w:t>通调三道两路气机，这基于壮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对慢性疲劳综合征病因病机的认识——风、湿、</w:t>
      </w:r>
      <w:proofErr w:type="gramStart"/>
      <w:r>
        <w:rPr>
          <w:rFonts w:ascii="仿宋_GB2312" w:eastAsia="仿宋_GB2312" w:hAnsi="仿宋_GB2312" w:cs="仿宋_GB2312" w:hint="eastAsia"/>
          <w:sz w:val="28"/>
          <w:szCs w:val="28"/>
        </w:rPr>
        <w:t>瘀</w:t>
      </w:r>
      <w:proofErr w:type="gramEnd"/>
      <w:r>
        <w:rPr>
          <w:rFonts w:ascii="仿宋_GB2312" w:eastAsia="仿宋_GB2312" w:hAnsi="仿宋_GB2312" w:cs="仿宋_GB2312" w:hint="eastAsia"/>
          <w:sz w:val="28"/>
          <w:szCs w:val="28"/>
        </w:rPr>
        <w:t>、</w:t>
      </w:r>
      <w:proofErr w:type="gramStart"/>
      <w:r>
        <w:rPr>
          <w:rFonts w:ascii="仿宋_GB2312" w:eastAsia="仿宋_GB2312" w:hAnsi="仿宋_GB2312" w:cs="仿宋_GB2312" w:hint="eastAsia"/>
          <w:sz w:val="28"/>
          <w:szCs w:val="28"/>
        </w:rPr>
        <w:t>寒四毒阻滞</w:t>
      </w:r>
      <w:proofErr w:type="gramEnd"/>
      <w:r>
        <w:rPr>
          <w:rFonts w:ascii="仿宋_GB2312" w:eastAsia="仿宋_GB2312" w:hAnsi="仿宋_GB2312" w:cs="仿宋_GB2312" w:hint="eastAsia"/>
          <w:sz w:val="28"/>
          <w:szCs w:val="28"/>
        </w:rPr>
        <w:t>三道两路而发病，通调三道两路气机是该针法起效的直接机制。</w:t>
      </w:r>
    </w:p>
    <w:p w14:paraId="11707769" w14:textId="77777777"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（二）人员要求</w:t>
      </w:r>
    </w:p>
    <w:p w14:paraId="22A1B38A"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要求操作者必须通过相关专业知识和技能培训，主要基于以下考虑：壮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并非单纯的针刺技术，其核心在于“经筋摸结”与“针刺解结”两个环节的配合。前者需要操作者通过手法触诊准确识别筋结的位置、深浅和性质，后者则要求在掌握常规针刺操作的基础上，能够针对筋结进行精准施针。这两项能力均无法仅凭通用医学知识获得，必须通过专项培训才能掌握。此外，该疗法涉及对“三道两路”理论的运用和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特色穴位的定位，未经系统学习难以保证操作的准确性和安全性。因此，将人员培训作为前置要求，是从操作质量与患者安全两个角度</w:t>
      </w:r>
      <w:proofErr w:type="gramStart"/>
      <w:r>
        <w:rPr>
          <w:rFonts w:ascii="仿宋_GB2312" w:eastAsia="仿宋_GB2312" w:hAnsi="仿宋_GB2312" w:cs="仿宋_GB2312" w:hint="eastAsia"/>
          <w:sz w:val="28"/>
          <w:szCs w:val="28"/>
        </w:rPr>
        <w:t>作出</w:t>
      </w:r>
      <w:proofErr w:type="gramEnd"/>
      <w:r>
        <w:rPr>
          <w:rFonts w:ascii="仿宋_GB2312" w:eastAsia="仿宋_GB2312" w:hAnsi="仿宋_GB2312" w:cs="仿宋_GB2312" w:hint="eastAsia"/>
          <w:sz w:val="28"/>
          <w:szCs w:val="28"/>
        </w:rPr>
        <w:t>的必要规定。</w:t>
      </w:r>
    </w:p>
    <w:p w14:paraId="3071780C" w14:textId="0011C15E"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（三）</w:t>
      </w:r>
      <w:r w:rsidR="00F10D46" w:rsidRPr="00F10D46">
        <w:rPr>
          <w:rFonts w:ascii="仿宋_GB2312" w:eastAsia="仿宋_GB2312" w:hAnsi="仿宋_GB2312" w:cs="仿宋_GB2312" w:hint="eastAsia"/>
          <w:b/>
          <w:bCs w:val="0"/>
          <w:sz w:val="28"/>
          <w:szCs w:val="28"/>
        </w:rPr>
        <w:t>三道两路</w:t>
      </w:r>
      <w:r>
        <w:rPr>
          <w:rFonts w:ascii="仿宋_GB2312" w:eastAsia="仿宋_GB2312" w:hAnsi="仿宋_GB2312" w:cs="仿宋_GB2312" w:hint="eastAsia"/>
          <w:b/>
          <w:bCs w:val="0"/>
          <w:sz w:val="28"/>
          <w:szCs w:val="28"/>
        </w:rPr>
        <w:t>辨证</w:t>
      </w:r>
    </w:p>
    <w:p w14:paraId="0C171FB5"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 xml:space="preserve">慢性疲劳综合征（嘘内（Heiq </w:t>
      </w:r>
      <w:proofErr w:type="spellStart"/>
      <w:r>
        <w:rPr>
          <w:rFonts w:ascii="仿宋_GB2312" w:eastAsia="仿宋_GB2312" w:hAnsi="仿宋_GB2312" w:cs="仿宋_GB2312" w:hint="eastAsia"/>
          <w:sz w:val="28"/>
          <w:szCs w:val="28"/>
        </w:rPr>
        <w:t>noix</w:t>
      </w:r>
      <w:proofErr w:type="spellEnd"/>
      <w:r>
        <w:rPr>
          <w:rFonts w:ascii="仿宋_GB2312" w:eastAsia="仿宋_GB2312" w:hAnsi="仿宋_GB2312" w:cs="仿宋_GB2312" w:hint="eastAsia"/>
          <w:sz w:val="28"/>
          <w:szCs w:val="28"/>
        </w:rPr>
        <w:t>））在壮医理论中属于“嘘内”范畴，核心病机在于三道两路功能失调、嘘</w:t>
      </w:r>
      <w:proofErr w:type="gramStart"/>
      <w:r>
        <w:rPr>
          <w:rFonts w:ascii="仿宋_GB2312" w:eastAsia="仿宋_GB2312" w:hAnsi="仿宋_GB2312" w:cs="仿宋_GB2312" w:hint="eastAsia"/>
          <w:sz w:val="28"/>
          <w:szCs w:val="28"/>
        </w:rPr>
        <w:t>嘞运行</w:t>
      </w:r>
      <w:proofErr w:type="gramEnd"/>
      <w:r>
        <w:rPr>
          <w:rFonts w:ascii="仿宋_GB2312" w:eastAsia="仿宋_GB2312" w:hAnsi="仿宋_GB2312" w:cs="仿宋_GB2312" w:hint="eastAsia"/>
          <w:sz w:val="28"/>
          <w:szCs w:val="28"/>
        </w:rPr>
        <w:t>失常。壮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将人体维持生命的基本通路概括为谷道、水道、气道、龙路、火路：谷道主受纳运化，为气血生化之源；水道司</w:t>
      </w:r>
      <w:proofErr w:type="gramStart"/>
      <w:r>
        <w:rPr>
          <w:rFonts w:ascii="仿宋_GB2312" w:eastAsia="仿宋_GB2312" w:hAnsi="仿宋_GB2312" w:cs="仿宋_GB2312" w:hint="eastAsia"/>
          <w:sz w:val="28"/>
          <w:szCs w:val="28"/>
        </w:rPr>
        <w:t>水液输布</w:t>
      </w:r>
      <w:proofErr w:type="gramEnd"/>
      <w:r>
        <w:rPr>
          <w:rFonts w:ascii="仿宋_GB2312" w:eastAsia="仿宋_GB2312" w:hAnsi="仿宋_GB2312" w:cs="仿宋_GB2312" w:hint="eastAsia"/>
          <w:sz w:val="28"/>
          <w:szCs w:val="28"/>
        </w:rPr>
        <w:t>，维系津液平衡；气道司呼吸行气机，主一身之气；龙路为血之道路，主司血液运行；火路为神之道路，主司感觉与神志。慢性疲劳综合征病程缠绵、症状复杂，临床所见疲劳、纳差、</w:t>
      </w:r>
      <w:r>
        <w:rPr>
          <w:rFonts w:ascii="仿宋_GB2312" w:eastAsia="仿宋_GB2312" w:hAnsi="仿宋_GB2312" w:cs="仿宋_GB2312" w:hint="eastAsia"/>
          <w:sz w:val="28"/>
          <w:szCs w:val="28"/>
        </w:rPr>
        <w:lastRenderedPageBreak/>
        <w:t>腹胀、困重、胸闷、疼痛、健忘、不</w:t>
      </w:r>
      <w:proofErr w:type="gramStart"/>
      <w:r>
        <w:rPr>
          <w:rFonts w:ascii="仿宋_GB2312" w:eastAsia="仿宋_GB2312" w:hAnsi="仿宋_GB2312" w:cs="仿宋_GB2312" w:hint="eastAsia"/>
          <w:sz w:val="28"/>
          <w:szCs w:val="28"/>
        </w:rPr>
        <w:t>寐</w:t>
      </w:r>
      <w:proofErr w:type="gramEnd"/>
      <w:r>
        <w:rPr>
          <w:rFonts w:ascii="仿宋_GB2312" w:eastAsia="仿宋_GB2312" w:hAnsi="仿宋_GB2312" w:cs="仿宋_GB2312" w:hint="eastAsia"/>
          <w:sz w:val="28"/>
          <w:szCs w:val="28"/>
        </w:rPr>
        <w:t>等表现，均可归入三道两路功能失调的具体类型。本标准以三道两路理论为纲，将临床常见证候归纳为谷道气虚、谷道不通、水道不通、气道不通、火路不通、龙路</w:t>
      </w:r>
      <w:proofErr w:type="gramStart"/>
      <w:r>
        <w:rPr>
          <w:rFonts w:ascii="仿宋_GB2312" w:eastAsia="仿宋_GB2312" w:hAnsi="仿宋_GB2312" w:cs="仿宋_GB2312" w:hint="eastAsia"/>
          <w:sz w:val="28"/>
          <w:szCs w:val="28"/>
        </w:rPr>
        <w:t>瘀</w:t>
      </w:r>
      <w:proofErr w:type="gramEnd"/>
      <w:r>
        <w:rPr>
          <w:rFonts w:ascii="仿宋_GB2312" w:eastAsia="仿宋_GB2312" w:hAnsi="仿宋_GB2312" w:cs="仿宋_GB2312" w:hint="eastAsia"/>
          <w:sz w:val="28"/>
          <w:szCs w:val="28"/>
        </w:rPr>
        <w:t>阻六型，前五型分别对应五条路的功能失常，第六型龙路</w:t>
      </w:r>
      <w:proofErr w:type="gramStart"/>
      <w:r>
        <w:rPr>
          <w:rFonts w:ascii="仿宋_GB2312" w:eastAsia="仿宋_GB2312" w:hAnsi="仿宋_GB2312" w:cs="仿宋_GB2312" w:hint="eastAsia"/>
          <w:sz w:val="28"/>
          <w:szCs w:val="28"/>
        </w:rPr>
        <w:t>瘀阻则</w:t>
      </w:r>
      <w:proofErr w:type="gramEnd"/>
      <w:r>
        <w:rPr>
          <w:rFonts w:ascii="仿宋_GB2312" w:eastAsia="仿宋_GB2312" w:hAnsi="仿宋_GB2312" w:cs="仿宋_GB2312" w:hint="eastAsia"/>
          <w:sz w:val="28"/>
          <w:szCs w:val="28"/>
        </w:rPr>
        <w:t>独立列出以突出其在血分</w:t>
      </w:r>
      <w:proofErr w:type="gramStart"/>
      <w:r>
        <w:rPr>
          <w:rFonts w:ascii="仿宋_GB2312" w:eastAsia="仿宋_GB2312" w:hAnsi="仿宋_GB2312" w:cs="仿宋_GB2312" w:hint="eastAsia"/>
          <w:sz w:val="28"/>
          <w:szCs w:val="28"/>
        </w:rPr>
        <w:t>瘀</w:t>
      </w:r>
      <w:proofErr w:type="gramEnd"/>
      <w:r>
        <w:rPr>
          <w:rFonts w:ascii="仿宋_GB2312" w:eastAsia="仿宋_GB2312" w:hAnsi="仿宋_GB2312" w:cs="仿宋_GB2312" w:hint="eastAsia"/>
          <w:sz w:val="28"/>
          <w:szCs w:val="28"/>
        </w:rPr>
        <w:t>滞中的核心地位。六型既各有侧重，又可相互兼夹，基本覆盖慢性疲劳综合征的常见临床表现，使辨证有据可循、治疗有证可依。</w:t>
      </w:r>
    </w:p>
    <w:p w14:paraId="6E2810D5"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1. 谷道气虚</w:t>
      </w:r>
    </w:p>
    <w:p w14:paraId="121AB06C"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谷道主司水谷精微的运化吸收，谷道气虚则运化无力，气血生化不足，机体失于</w:t>
      </w:r>
      <w:proofErr w:type="gramStart"/>
      <w:r>
        <w:rPr>
          <w:rFonts w:ascii="仿宋_GB2312" w:eastAsia="仿宋_GB2312" w:hAnsi="仿宋_GB2312" w:cs="仿宋_GB2312" w:hint="eastAsia"/>
          <w:sz w:val="28"/>
          <w:szCs w:val="28"/>
        </w:rPr>
        <w:t>濡</w:t>
      </w:r>
      <w:proofErr w:type="gramEnd"/>
      <w:r>
        <w:rPr>
          <w:rFonts w:ascii="仿宋_GB2312" w:eastAsia="仿宋_GB2312" w:hAnsi="仿宋_GB2312" w:cs="仿宋_GB2312" w:hint="eastAsia"/>
          <w:sz w:val="28"/>
          <w:szCs w:val="28"/>
        </w:rPr>
        <w:t>养，故见神疲乏力、四肢酸软、稍动则甚；脾胃虚弱，受纳运化失常，故食欲不振、食后腹胀、大便</w:t>
      </w:r>
      <w:proofErr w:type="gramStart"/>
      <w:r>
        <w:rPr>
          <w:rFonts w:ascii="仿宋_GB2312" w:eastAsia="仿宋_GB2312" w:hAnsi="仿宋_GB2312" w:cs="仿宋_GB2312" w:hint="eastAsia"/>
          <w:sz w:val="28"/>
          <w:szCs w:val="28"/>
        </w:rPr>
        <w:t>溏</w:t>
      </w:r>
      <w:proofErr w:type="gramEnd"/>
      <w:r>
        <w:rPr>
          <w:rFonts w:ascii="仿宋_GB2312" w:eastAsia="仿宋_GB2312" w:hAnsi="仿宋_GB2312" w:cs="仿宋_GB2312" w:hint="eastAsia"/>
          <w:sz w:val="28"/>
          <w:szCs w:val="28"/>
        </w:rPr>
        <w:t>薄；气血不能上荣于面，故面色萎黄。</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脉象见舌质淡、苔薄白、脉虚弱。壮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目诊见白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淡白无泽、甲诊见甲色淡白质薄、月痕消失，均为气血亏虚之外候。此型为慢性疲劳综合征最常见的基础证型，故列于首位。</w:t>
      </w:r>
    </w:p>
    <w:p w14:paraId="24EEC839"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2. 谷道不通</w:t>
      </w:r>
    </w:p>
    <w:p w14:paraId="7783F3E4"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谷道以通为顺，若因湿浊食积阻滞，气机壅塞不通，则疲劳与</w:t>
      </w:r>
      <w:proofErr w:type="gramStart"/>
      <w:r>
        <w:rPr>
          <w:rFonts w:ascii="仿宋_GB2312" w:eastAsia="仿宋_GB2312" w:hAnsi="仿宋_GB2312" w:cs="仿宋_GB2312" w:hint="eastAsia"/>
          <w:sz w:val="28"/>
          <w:szCs w:val="28"/>
        </w:rPr>
        <w:t>脘腹胀满并见</w:t>
      </w:r>
      <w:proofErr w:type="gramEnd"/>
      <w:r>
        <w:rPr>
          <w:rFonts w:ascii="仿宋_GB2312" w:eastAsia="仿宋_GB2312" w:hAnsi="仿宋_GB2312" w:cs="仿宋_GB2312" w:hint="eastAsia"/>
          <w:sz w:val="28"/>
          <w:szCs w:val="28"/>
        </w:rPr>
        <w:t>，午后阳气渐衰，气</w:t>
      </w:r>
      <w:proofErr w:type="gramStart"/>
      <w:r>
        <w:rPr>
          <w:rFonts w:ascii="仿宋_GB2312" w:eastAsia="仿宋_GB2312" w:hAnsi="仿宋_GB2312" w:cs="仿宋_GB2312" w:hint="eastAsia"/>
          <w:sz w:val="28"/>
          <w:szCs w:val="28"/>
        </w:rPr>
        <w:t>机愈滞故</w:t>
      </w:r>
      <w:proofErr w:type="gramEnd"/>
      <w:r>
        <w:rPr>
          <w:rFonts w:ascii="仿宋_GB2312" w:eastAsia="仿宋_GB2312" w:hAnsi="仿宋_GB2312" w:cs="仿宋_GB2312" w:hint="eastAsia"/>
          <w:sz w:val="28"/>
          <w:szCs w:val="28"/>
        </w:rPr>
        <w:t>诸症加重；胃气不降则嗳气呕恶，肠道传导失常则便秘或排便不爽；气滞则浊气留滞。</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脉象见舌质暗红、苔厚腻、脉弦滑或沉实。目诊见白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青紫血管迂曲、扩张，甲诊见甲色暗红、暗纹迂曲，均为谷道不通之征。</w:t>
      </w:r>
    </w:p>
    <w:p w14:paraId="1C307315"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3. 水道不通</w:t>
      </w:r>
    </w:p>
    <w:p w14:paraId="09BBACD9"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水道主司</w:t>
      </w:r>
      <w:proofErr w:type="gramStart"/>
      <w:r>
        <w:rPr>
          <w:rFonts w:ascii="仿宋_GB2312" w:eastAsia="仿宋_GB2312" w:hAnsi="仿宋_GB2312" w:cs="仿宋_GB2312" w:hint="eastAsia"/>
          <w:sz w:val="28"/>
          <w:szCs w:val="28"/>
        </w:rPr>
        <w:t>水液输布</w:t>
      </w:r>
      <w:proofErr w:type="gramEnd"/>
      <w:r>
        <w:rPr>
          <w:rFonts w:ascii="仿宋_GB2312" w:eastAsia="仿宋_GB2312" w:hAnsi="仿宋_GB2312" w:cs="仿宋_GB2312" w:hint="eastAsia"/>
          <w:sz w:val="28"/>
          <w:szCs w:val="28"/>
        </w:rPr>
        <w:t>排泄，水道</w:t>
      </w:r>
      <w:proofErr w:type="gramStart"/>
      <w:r>
        <w:rPr>
          <w:rFonts w:ascii="仿宋_GB2312" w:eastAsia="仿宋_GB2312" w:hAnsi="仿宋_GB2312" w:cs="仿宋_GB2312" w:hint="eastAsia"/>
          <w:sz w:val="28"/>
          <w:szCs w:val="28"/>
        </w:rPr>
        <w:t>不</w:t>
      </w:r>
      <w:proofErr w:type="gramEnd"/>
      <w:r>
        <w:rPr>
          <w:rFonts w:ascii="仿宋_GB2312" w:eastAsia="仿宋_GB2312" w:hAnsi="仿宋_GB2312" w:cs="仿宋_GB2312" w:hint="eastAsia"/>
          <w:sz w:val="28"/>
          <w:szCs w:val="28"/>
        </w:rPr>
        <w:t>通则水湿内停，湿性重浊</w:t>
      </w:r>
      <w:proofErr w:type="gramStart"/>
      <w:r>
        <w:rPr>
          <w:rFonts w:ascii="仿宋_GB2312" w:eastAsia="仿宋_GB2312" w:hAnsi="仿宋_GB2312" w:cs="仿宋_GB2312" w:hint="eastAsia"/>
          <w:sz w:val="28"/>
          <w:szCs w:val="28"/>
        </w:rPr>
        <w:t>黏</w:t>
      </w:r>
      <w:proofErr w:type="gramEnd"/>
      <w:r>
        <w:rPr>
          <w:rFonts w:ascii="仿宋_GB2312" w:eastAsia="仿宋_GB2312" w:hAnsi="仿宋_GB2312" w:cs="仿宋_GB2312" w:hint="eastAsia"/>
          <w:sz w:val="28"/>
          <w:szCs w:val="28"/>
        </w:rPr>
        <w:t>滞，故精神萎靡、身体困重如裹湿衣、下肢沉重；膀胱气化不利则小便不利、小腹胀满；水湿泛溢肌肤则颜面下肢浮肿；湿阻津液</w:t>
      </w:r>
      <w:proofErr w:type="gramStart"/>
      <w:r>
        <w:rPr>
          <w:rFonts w:ascii="仿宋_GB2312" w:eastAsia="仿宋_GB2312" w:hAnsi="仿宋_GB2312" w:cs="仿宋_GB2312" w:hint="eastAsia"/>
          <w:sz w:val="28"/>
          <w:szCs w:val="28"/>
        </w:rPr>
        <w:t>不布则渴不欲饮</w:t>
      </w:r>
      <w:proofErr w:type="gramEnd"/>
      <w:r>
        <w:rPr>
          <w:rFonts w:ascii="仿宋_GB2312" w:eastAsia="仿宋_GB2312" w:hAnsi="仿宋_GB2312" w:cs="仿宋_GB2312" w:hint="eastAsia"/>
          <w:sz w:val="28"/>
          <w:szCs w:val="28"/>
        </w:rPr>
        <w:t>。</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脉象见舌淡胖或暗红、苔白滑或黄腻、脉沉弦或滑。目诊见白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湿润或有水泡样突起，甲诊见甲色淡白湿润、甲周浮肿，均为水湿内停之</w:t>
      </w:r>
      <w:proofErr w:type="gramStart"/>
      <w:r>
        <w:rPr>
          <w:rFonts w:ascii="仿宋_GB2312" w:eastAsia="仿宋_GB2312" w:hAnsi="仿宋_GB2312" w:cs="仿宋_GB2312" w:hint="eastAsia"/>
          <w:sz w:val="28"/>
          <w:szCs w:val="28"/>
        </w:rPr>
        <w:t>象</w:t>
      </w:r>
      <w:proofErr w:type="gramEnd"/>
      <w:r>
        <w:rPr>
          <w:rFonts w:ascii="仿宋_GB2312" w:eastAsia="仿宋_GB2312" w:hAnsi="仿宋_GB2312" w:cs="仿宋_GB2312" w:hint="eastAsia"/>
          <w:sz w:val="28"/>
          <w:szCs w:val="28"/>
        </w:rPr>
        <w:t>。</w:t>
      </w:r>
    </w:p>
    <w:p w14:paraId="7FE2A77E"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4. 气道不通</w:t>
      </w:r>
    </w:p>
    <w:p w14:paraId="3540827D"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气道司呼吸主气机，气道</w:t>
      </w:r>
      <w:proofErr w:type="gramStart"/>
      <w:r>
        <w:rPr>
          <w:rFonts w:ascii="仿宋_GB2312" w:eastAsia="仿宋_GB2312" w:hAnsi="仿宋_GB2312" w:cs="仿宋_GB2312" w:hint="eastAsia"/>
          <w:sz w:val="28"/>
          <w:szCs w:val="28"/>
        </w:rPr>
        <w:t>不</w:t>
      </w:r>
      <w:proofErr w:type="gramEnd"/>
      <w:r>
        <w:rPr>
          <w:rFonts w:ascii="仿宋_GB2312" w:eastAsia="仿宋_GB2312" w:hAnsi="仿宋_GB2312" w:cs="仿宋_GB2312" w:hint="eastAsia"/>
          <w:sz w:val="28"/>
          <w:szCs w:val="28"/>
        </w:rPr>
        <w:t>通则肺气壅塞，宣降失常，故胸闷气短、言语低微、咳嗽痰多；气机郁滞则情绪抑郁、意志消沉、喜叹息；痰气交阻于咽喉则喉间异物感。</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脉象见舌苔白滑或黄腻、脉弦紧或滑数。目诊见白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红色血丝密集分布紊乱，甲诊见甲色淡红细密红纹，均为气道郁滞、气病及血之征。</w:t>
      </w:r>
    </w:p>
    <w:p w14:paraId="06DAB6AD"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5. 龙路不通</w:t>
      </w:r>
    </w:p>
    <w:p w14:paraId="0F9EC658"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火路为神之道路，主司感觉与神志，火路</w:t>
      </w:r>
      <w:proofErr w:type="gramStart"/>
      <w:r>
        <w:rPr>
          <w:rFonts w:ascii="仿宋_GB2312" w:eastAsia="仿宋_GB2312" w:hAnsi="仿宋_GB2312" w:cs="仿宋_GB2312" w:hint="eastAsia"/>
          <w:sz w:val="28"/>
          <w:szCs w:val="28"/>
        </w:rPr>
        <w:t>不</w:t>
      </w:r>
      <w:proofErr w:type="gramEnd"/>
      <w:r>
        <w:rPr>
          <w:rFonts w:ascii="仿宋_GB2312" w:eastAsia="仿宋_GB2312" w:hAnsi="仿宋_GB2312" w:cs="仿宋_GB2312" w:hint="eastAsia"/>
          <w:sz w:val="28"/>
          <w:szCs w:val="28"/>
        </w:rPr>
        <w:t>通则神机失用，</w:t>
      </w:r>
      <w:proofErr w:type="gramStart"/>
      <w:r>
        <w:rPr>
          <w:rFonts w:ascii="仿宋_GB2312" w:eastAsia="仿宋_GB2312" w:hAnsi="仿宋_GB2312" w:cs="仿宋_GB2312" w:hint="eastAsia"/>
          <w:sz w:val="28"/>
          <w:szCs w:val="28"/>
        </w:rPr>
        <w:t>故情绪</w:t>
      </w:r>
      <w:proofErr w:type="gramEnd"/>
      <w:r>
        <w:rPr>
          <w:rFonts w:ascii="仿宋_GB2312" w:eastAsia="仿宋_GB2312" w:hAnsi="仿宋_GB2312" w:cs="仿宋_GB2312" w:hint="eastAsia"/>
          <w:sz w:val="28"/>
          <w:szCs w:val="28"/>
        </w:rPr>
        <w:t>低落、焦虑易惊、健忘、反应迟钝、注意力不集中；神不守舍则虽极度疲惫但难以入睡或睡眠极浅；火路阻滞、感觉失司则肢体麻木、如蚁行感、痛觉迟钝；气机不畅则关节肌肉游走性疼痛。</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脉象见舌质暗红或淡暗、苔薄白或白腻、脉弦或涩或结代。壮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目诊：白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可见鲜红色血丝，分布密集、细长；壮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甲诊：甲色鲜红、细密红丝，均为火路不通、气病及血之征。</w:t>
      </w:r>
    </w:p>
    <w:p w14:paraId="592BD9FC"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6. 龙路</w:t>
      </w:r>
      <w:proofErr w:type="gramStart"/>
      <w:r>
        <w:rPr>
          <w:rFonts w:ascii="仿宋_GB2312" w:eastAsia="仿宋_GB2312" w:hAnsi="仿宋_GB2312" w:cs="仿宋_GB2312" w:hint="eastAsia"/>
          <w:b/>
          <w:bCs w:val="0"/>
          <w:sz w:val="28"/>
          <w:szCs w:val="28"/>
        </w:rPr>
        <w:t>瘀</w:t>
      </w:r>
      <w:proofErr w:type="gramEnd"/>
      <w:r>
        <w:rPr>
          <w:rFonts w:ascii="仿宋_GB2312" w:eastAsia="仿宋_GB2312" w:hAnsi="仿宋_GB2312" w:cs="仿宋_GB2312" w:hint="eastAsia"/>
          <w:b/>
          <w:bCs w:val="0"/>
          <w:sz w:val="28"/>
          <w:szCs w:val="28"/>
        </w:rPr>
        <w:t>阻</w:t>
      </w:r>
    </w:p>
    <w:p w14:paraId="02568559"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龙路为血之道路，主司血液运行，龙路</w:t>
      </w:r>
      <w:proofErr w:type="gramStart"/>
      <w:r>
        <w:rPr>
          <w:rFonts w:ascii="仿宋_GB2312" w:eastAsia="仿宋_GB2312" w:hAnsi="仿宋_GB2312" w:cs="仿宋_GB2312" w:hint="eastAsia"/>
          <w:sz w:val="28"/>
          <w:szCs w:val="28"/>
        </w:rPr>
        <w:t>瘀阻则</w:t>
      </w:r>
      <w:proofErr w:type="gramEnd"/>
      <w:r>
        <w:rPr>
          <w:rFonts w:ascii="仿宋_GB2312" w:eastAsia="仿宋_GB2312" w:hAnsi="仿宋_GB2312" w:cs="仿宋_GB2312" w:hint="eastAsia"/>
          <w:sz w:val="28"/>
          <w:szCs w:val="28"/>
        </w:rPr>
        <w:t>血行不畅，瘀血内停，故疲劳顽固且休息后难解；</w:t>
      </w:r>
      <w:proofErr w:type="gramStart"/>
      <w:r>
        <w:rPr>
          <w:rFonts w:ascii="仿宋_GB2312" w:eastAsia="仿宋_GB2312" w:hAnsi="仿宋_GB2312" w:cs="仿宋_GB2312" w:hint="eastAsia"/>
          <w:sz w:val="28"/>
          <w:szCs w:val="28"/>
        </w:rPr>
        <w:t>瘀</w:t>
      </w:r>
      <w:proofErr w:type="gramEnd"/>
      <w:r>
        <w:rPr>
          <w:rFonts w:ascii="仿宋_GB2312" w:eastAsia="仿宋_GB2312" w:hAnsi="仿宋_GB2312" w:cs="仿宋_GB2312" w:hint="eastAsia"/>
          <w:sz w:val="28"/>
          <w:szCs w:val="28"/>
        </w:rPr>
        <w:t>阻脉络则身体局部固定性刺痛、夜间痛甚；血不上荣则健忘、注意力不集中；瘀血外现则面色晦暗、口唇爪甲紫暗、肌肤甲错。</w:t>
      </w:r>
      <w:proofErr w:type="gramStart"/>
      <w:r>
        <w:rPr>
          <w:rFonts w:ascii="仿宋_GB2312" w:eastAsia="仿宋_GB2312" w:hAnsi="仿宋_GB2312" w:cs="仿宋_GB2312" w:hint="eastAsia"/>
          <w:sz w:val="28"/>
          <w:szCs w:val="28"/>
        </w:rPr>
        <w:t>舌</w:t>
      </w:r>
      <w:proofErr w:type="gramEnd"/>
      <w:r>
        <w:rPr>
          <w:rFonts w:ascii="仿宋_GB2312" w:eastAsia="仿宋_GB2312" w:hAnsi="仿宋_GB2312" w:cs="仿宋_GB2312" w:hint="eastAsia"/>
          <w:sz w:val="28"/>
          <w:szCs w:val="28"/>
        </w:rPr>
        <w:t>脉象：舌质紫暗或有瘀点瘀斑，脉细涩或结代。壮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目诊：白</w:t>
      </w:r>
      <w:proofErr w:type="gramStart"/>
      <w:r>
        <w:rPr>
          <w:rFonts w:ascii="仿宋_GB2312" w:eastAsia="仿宋_GB2312" w:hAnsi="仿宋_GB2312" w:cs="仿宋_GB2312" w:hint="eastAsia"/>
          <w:sz w:val="28"/>
          <w:szCs w:val="28"/>
        </w:rPr>
        <w:t>睛</w:t>
      </w:r>
      <w:proofErr w:type="gramEnd"/>
      <w:r>
        <w:rPr>
          <w:rFonts w:ascii="仿宋_GB2312" w:eastAsia="仿宋_GB2312" w:hAnsi="仿宋_GB2312" w:cs="仿宋_GB2312" w:hint="eastAsia"/>
          <w:sz w:val="28"/>
          <w:szCs w:val="28"/>
        </w:rPr>
        <w:t>可见紫暗色或深红色血管，呈网状或团状分布。壮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甲诊：甲色紫暗、瘀斑、粗糙，均为瘀血内阻的典型征象。</w:t>
      </w:r>
    </w:p>
    <w:p w14:paraId="4C4650EB" w14:textId="77777777"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（四）施术前准备</w:t>
      </w:r>
    </w:p>
    <w:p w14:paraId="409B19F2"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1. 规定选用一次性无菌针灸针（规格宜为0.3 mm×40 mm）、75％酒精/0.5％碘伏、一次性无菌棉签等，是基于以下考虑：一次性针具可杜绝交叉感染，0.3 mm×40 mm规格能兼顾浅表筋结与深层病灶的针刺需求，酒精与碘</w:t>
      </w:r>
      <w:proofErr w:type="gramStart"/>
      <w:r>
        <w:rPr>
          <w:rFonts w:ascii="仿宋_GB2312" w:eastAsia="仿宋_GB2312" w:hAnsi="仿宋_GB2312" w:cs="仿宋_GB2312" w:hint="eastAsia"/>
          <w:sz w:val="28"/>
          <w:szCs w:val="28"/>
        </w:rPr>
        <w:t>伏配合</w:t>
      </w:r>
      <w:proofErr w:type="gramEnd"/>
      <w:r>
        <w:rPr>
          <w:rFonts w:ascii="仿宋_GB2312" w:eastAsia="仿宋_GB2312" w:hAnsi="仿宋_GB2312" w:cs="仿宋_GB2312" w:hint="eastAsia"/>
          <w:sz w:val="28"/>
          <w:szCs w:val="28"/>
        </w:rPr>
        <w:t>使用可保证皮肤消毒效果，一次性棉签则用于出针后按压止血。</w:t>
      </w:r>
    </w:p>
    <w:p w14:paraId="193F29D7"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2. 要求按WS/T 313规定进行</w:t>
      </w:r>
      <w:proofErr w:type="gramStart"/>
      <w:r>
        <w:rPr>
          <w:rFonts w:ascii="仿宋_GB2312" w:eastAsia="仿宋_GB2312" w:hAnsi="仿宋_GB2312" w:cs="仿宋_GB2312" w:hint="eastAsia"/>
          <w:sz w:val="28"/>
          <w:szCs w:val="28"/>
        </w:rPr>
        <w:t>手卫生</w:t>
      </w:r>
      <w:proofErr w:type="gramEnd"/>
      <w:r>
        <w:rPr>
          <w:rFonts w:ascii="仿宋_GB2312" w:eastAsia="仿宋_GB2312" w:hAnsi="仿宋_GB2312" w:cs="仿宋_GB2312" w:hint="eastAsia"/>
          <w:sz w:val="28"/>
          <w:szCs w:val="28"/>
        </w:rPr>
        <w:t>消毒，并向患者说明治疗作用与注意事项，目的在于阻断医源性感染途径，同时通过沟通消除患者紧张恐惧情绪，减少晕针等不良反应的发生。</w:t>
      </w:r>
    </w:p>
    <w:p w14:paraId="2734D72D"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2D5AE77F" wp14:editId="136FB0E1">
            <wp:extent cx="4282440" cy="2012315"/>
            <wp:effectExtent l="9525" t="9525" r="13335" b="165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0"/>
                    <a:stretch>
                      <a:fillRect/>
                    </a:stretch>
                  </pic:blipFill>
                  <pic:spPr>
                    <a:xfrm>
                      <a:off x="0" y="0"/>
                      <a:ext cx="4282440" cy="2012315"/>
                    </a:xfrm>
                    <a:prstGeom prst="rect">
                      <a:avLst/>
                    </a:prstGeom>
                    <a:noFill/>
                    <a:ln>
                      <a:solidFill>
                        <a:schemeClr val="tx1"/>
                      </a:solidFill>
                    </a:ln>
                  </pic:spPr>
                </pic:pic>
              </a:graphicData>
            </a:graphic>
          </wp:inline>
        </w:drawing>
      </w:r>
    </w:p>
    <w:p w14:paraId="312FAA6C" w14:textId="77777777" w:rsidR="004C43A5" w:rsidRDefault="00000000">
      <w:pPr>
        <w:pStyle w:val="aff7"/>
        <w:spacing w:beforeLines="0" w:before="0" w:afterLines="0" w:after="0" w:line="240" w:lineRule="auto"/>
        <w:ind w:firstLineChars="0" w:firstLine="0"/>
        <w:rPr>
          <w:rFonts w:hint="eastAsia"/>
        </w:rPr>
      </w:pPr>
      <w:r>
        <w:rPr>
          <w:rFonts w:hint="eastAsia"/>
        </w:rPr>
        <w:t>来源：WS/T 313  医务人员</w:t>
      </w:r>
      <w:proofErr w:type="gramStart"/>
      <w:r>
        <w:rPr>
          <w:rFonts w:hint="eastAsia"/>
        </w:rPr>
        <w:t>手卫生</w:t>
      </w:r>
      <w:proofErr w:type="gramEnd"/>
      <w:r>
        <w:rPr>
          <w:rFonts w:hint="eastAsia"/>
        </w:rPr>
        <w:t>规范</w:t>
      </w:r>
    </w:p>
    <w:p w14:paraId="0CA9B93E"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3. 规定以患者舒适、</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者便于施术为原则选择仰卧位，是因为慢性疲劳综合征患者多体质虚弱，仰卧位较俯卧位或侧卧位更易耐受，且便于暴露头面、胸腹、四肢等部位的操作区域。</w:t>
      </w:r>
    </w:p>
    <w:p w14:paraId="6634485A"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4. 要求施术环境安静整洁、光线明亮、温度适宜，同时符合GB 15982的规定，是因为操作环境直接影响治疗过程的平稳性和感染控制效果，光线充足便于准确辨识筋结，温湿度</w:t>
      </w:r>
      <w:proofErr w:type="gramStart"/>
      <w:r>
        <w:rPr>
          <w:rFonts w:ascii="仿宋_GB2312" w:eastAsia="仿宋_GB2312" w:hAnsi="仿宋_GB2312" w:cs="仿宋_GB2312" w:hint="eastAsia"/>
          <w:sz w:val="28"/>
          <w:szCs w:val="28"/>
        </w:rPr>
        <w:t>适宜可</w:t>
      </w:r>
      <w:proofErr w:type="gramEnd"/>
      <w:r>
        <w:rPr>
          <w:rFonts w:ascii="仿宋_GB2312" w:eastAsia="仿宋_GB2312" w:hAnsi="仿宋_GB2312" w:cs="仿宋_GB2312" w:hint="eastAsia"/>
          <w:sz w:val="28"/>
          <w:szCs w:val="28"/>
        </w:rPr>
        <w:t>避免患者受凉或出汗过多。</w:t>
      </w:r>
    </w:p>
    <w:p w14:paraId="7EC893CF"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3EE174FD" wp14:editId="6A51F229">
            <wp:extent cx="4672965" cy="2000250"/>
            <wp:effectExtent l="9525" t="9525" r="22860"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1"/>
                    <a:stretch>
                      <a:fillRect/>
                    </a:stretch>
                  </pic:blipFill>
                  <pic:spPr>
                    <a:xfrm>
                      <a:off x="0" y="0"/>
                      <a:ext cx="4672965" cy="2000250"/>
                    </a:xfrm>
                    <a:prstGeom prst="rect">
                      <a:avLst/>
                    </a:prstGeom>
                    <a:noFill/>
                    <a:ln>
                      <a:solidFill>
                        <a:schemeClr val="tx1"/>
                      </a:solidFill>
                    </a:ln>
                  </pic:spPr>
                </pic:pic>
              </a:graphicData>
            </a:graphic>
          </wp:inline>
        </w:drawing>
      </w:r>
    </w:p>
    <w:p w14:paraId="6FDB7AB6" w14:textId="77777777" w:rsidR="004C43A5" w:rsidRDefault="00000000">
      <w:pPr>
        <w:pStyle w:val="aff7"/>
        <w:spacing w:beforeLines="0" w:before="0" w:afterLines="0" w:after="0" w:line="240" w:lineRule="auto"/>
        <w:ind w:firstLineChars="0" w:firstLine="0"/>
        <w:rPr>
          <w:rFonts w:hint="eastAsia"/>
        </w:rPr>
      </w:pPr>
      <w:r>
        <w:rPr>
          <w:rFonts w:hint="eastAsia"/>
        </w:rPr>
        <w:t>来源：GB 15982  医院消毒卫生标准</w:t>
      </w:r>
    </w:p>
    <w:p w14:paraId="51FF848A" w14:textId="77777777"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（五）施术</w:t>
      </w:r>
    </w:p>
    <w:p w14:paraId="528C75AD"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1. 经</w:t>
      </w:r>
      <w:proofErr w:type="gramStart"/>
      <w:r>
        <w:rPr>
          <w:rFonts w:ascii="仿宋_GB2312" w:eastAsia="仿宋_GB2312" w:hAnsi="仿宋_GB2312" w:cs="仿宋_GB2312" w:hint="eastAsia"/>
          <w:b/>
          <w:bCs w:val="0"/>
          <w:sz w:val="28"/>
          <w:szCs w:val="28"/>
        </w:rPr>
        <w:t>筋摸结</w:t>
      </w:r>
      <w:proofErr w:type="gramEnd"/>
    </w:p>
    <w:p w14:paraId="718B5BFD"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经</w:t>
      </w:r>
      <w:proofErr w:type="gramStart"/>
      <w:r>
        <w:rPr>
          <w:rFonts w:ascii="仿宋_GB2312" w:eastAsia="仿宋_GB2312" w:hAnsi="仿宋_GB2312" w:cs="仿宋_GB2312" w:hint="eastAsia"/>
          <w:sz w:val="28"/>
          <w:szCs w:val="28"/>
        </w:rPr>
        <w:t>筋摸结</w:t>
      </w:r>
      <w:proofErr w:type="gramEnd"/>
      <w:r>
        <w:rPr>
          <w:rFonts w:ascii="仿宋_GB2312" w:eastAsia="仿宋_GB2312" w:hAnsi="仿宋_GB2312" w:cs="仿宋_GB2312" w:hint="eastAsia"/>
          <w:sz w:val="28"/>
          <w:szCs w:val="28"/>
        </w:rPr>
        <w:t>是壮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经筋针刺的独特诊断环节，其设置基于以下考虑：壮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认为经筋病变以筋</w:t>
      </w:r>
      <w:proofErr w:type="gramStart"/>
      <w:r>
        <w:rPr>
          <w:rFonts w:ascii="仿宋_GB2312" w:eastAsia="仿宋_GB2312" w:hAnsi="仿宋_GB2312" w:cs="仿宋_GB2312" w:hint="eastAsia"/>
          <w:sz w:val="28"/>
          <w:szCs w:val="28"/>
        </w:rPr>
        <w:t>结形式</w:t>
      </w:r>
      <w:proofErr w:type="gramEnd"/>
      <w:r>
        <w:rPr>
          <w:rFonts w:ascii="仿宋_GB2312" w:eastAsia="仿宋_GB2312" w:hAnsi="仿宋_GB2312" w:cs="仿宋_GB2312" w:hint="eastAsia"/>
          <w:sz w:val="28"/>
          <w:szCs w:val="28"/>
        </w:rPr>
        <w:t>呈现，筋结的位置、深浅、性质直接决定针刺靶点，</w:t>
      </w:r>
      <w:proofErr w:type="gramStart"/>
      <w:r>
        <w:rPr>
          <w:rFonts w:ascii="仿宋_GB2312" w:eastAsia="仿宋_GB2312" w:hAnsi="仿宋_GB2312" w:cs="仿宋_GB2312" w:hint="eastAsia"/>
          <w:sz w:val="28"/>
          <w:szCs w:val="28"/>
        </w:rPr>
        <w:t>摸结的</w:t>
      </w:r>
      <w:proofErr w:type="gramEnd"/>
      <w:r>
        <w:rPr>
          <w:rFonts w:ascii="仿宋_GB2312" w:eastAsia="仿宋_GB2312" w:hAnsi="仿宋_GB2312" w:cs="仿宋_GB2312" w:hint="eastAsia"/>
          <w:sz w:val="28"/>
          <w:szCs w:val="28"/>
        </w:rPr>
        <w:t>准确性是后续治疗有效的前提。规定施术者用拇指指尖、指腹、指合力，沿壮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特定穴位或十二经筋循行路线，按浅、中、深三层，以切、循、按、摸、弹拨等手法进行检查，是因为上述部位既有足够力度探及深部组织，又能保持触觉灵敏度，便于分辨异常组织的形态与质地。按浅、中、深三层触诊，并以多种手法配合，旨在全面探查</w:t>
      </w:r>
      <w:proofErr w:type="gramStart"/>
      <w:r>
        <w:rPr>
          <w:rFonts w:ascii="仿宋_GB2312" w:eastAsia="仿宋_GB2312" w:hAnsi="仿宋_GB2312" w:cs="仿宋_GB2312" w:hint="eastAsia"/>
          <w:sz w:val="28"/>
          <w:szCs w:val="28"/>
        </w:rPr>
        <w:t>经筋各层次</w:t>
      </w:r>
      <w:proofErr w:type="gramEnd"/>
      <w:r>
        <w:rPr>
          <w:rFonts w:ascii="仿宋_GB2312" w:eastAsia="仿宋_GB2312" w:hAnsi="仿宋_GB2312" w:cs="仿宋_GB2312" w:hint="eastAsia"/>
          <w:sz w:val="28"/>
          <w:szCs w:val="28"/>
        </w:rPr>
        <w:t>的病变，避免遗漏深层筋结。</w:t>
      </w:r>
    </w:p>
    <w:p w14:paraId="0A54F991"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筋结判定标准同时强调“存在异常组织”与“触压明显疼痛”，是因为异常组织若无压痛，多为陈旧性或非活动性病灶，不作为主要治疗靶点；而单纯</w:t>
      </w:r>
      <w:proofErr w:type="gramStart"/>
      <w:r>
        <w:rPr>
          <w:rFonts w:ascii="仿宋_GB2312" w:eastAsia="仿宋_GB2312" w:hAnsi="仿宋_GB2312" w:cs="仿宋_GB2312" w:hint="eastAsia"/>
          <w:sz w:val="28"/>
          <w:szCs w:val="28"/>
        </w:rPr>
        <w:t>触痛若</w:t>
      </w:r>
      <w:proofErr w:type="gramEnd"/>
      <w:r>
        <w:rPr>
          <w:rFonts w:ascii="仿宋_GB2312" w:eastAsia="仿宋_GB2312" w:hAnsi="仿宋_GB2312" w:cs="仿宋_GB2312" w:hint="eastAsia"/>
          <w:sz w:val="28"/>
          <w:szCs w:val="28"/>
        </w:rPr>
        <w:t>无异常组织，则可能为局部炎症或神经敏感，并非经筋病变的核心。两项特征同时具备，才能确认为需要针刺的筋结。要求记录其位置、大小及深浅，是为保证多次治疗间有据可循，也为疗效评价提供客观依据。</w:t>
      </w:r>
    </w:p>
    <w:p w14:paraId="78F6DE81"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2. 经筋针刺</w:t>
      </w:r>
    </w:p>
    <w:p w14:paraId="31C2E8DC"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2.1 穴位选择</w:t>
      </w:r>
    </w:p>
    <w:p w14:paraId="1D6C0C47"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（1）主穴选取发旋穴、</w:t>
      </w:r>
      <w:proofErr w:type="gramStart"/>
      <w:r>
        <w:rPr>
          <w:rFonts w:ascii="仿宋_GB2312" w:eastAsia="仿宋_GB2312" w:hAnsi="仿宋_GB2312" w:cs="仿宋_GB2312" w:hint="eastAsia"/>
          <w:sz w:val="28"/>
          <w:szCs w:val="28"/>
        </w:rPr>
        <w:t>旋环穴</w:t>
      </w:r>
      <w:proofErr w:type="gramEnd"/>
      <w:r>
        <w:rPr>
          <w:rFonts w:ascii="仿宋_GB2312" w:eastAsia="仿宋_GB2312" w:hAnsi="仿宋_GB2312" w:cs="仿宋_GB2312" w:hint="eastAsia"/>
          <w:sz w:val="28"/>
          <w:szCs w:val="28"/>
        </w:rPr>
        <w:t>、安眠三穴、眉心穴、扁担穴、脐环穴、</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行穴、下关元等。发旋穴位于头顶，为诸阳之会，可通调全身阳气；</w:t>
      </w:r>
      <w:proofErr w:type="gramStart"/>
      <w:r>
        <w:rPr>
          <w:rFonts w:ascii="仿宋_GB2312" w:eastAsia="仿宋_GB2312" w:hAnsi="仿宋_GB2312" w:cs="仿宋_GB2312" w:hint="eastAsia"/>
          <w:sz w:val="28"/>
          <w:szCs w:val="28"/>
        </w:rPr>
        <w:t>旋环穴</w:t>
      </w:r>
      <w:proofErr w:type="gramEnd"/>
      <w:r>
        <w:rPr>
          <w:rFonts w:ascii="仿宋_GB2312" w:eastAsia="仿宋_GB2312" w:hAnsi="仿宋_GB2312" w:cs="仿宋_GB2312" w:hint="eastAsia"/>
          <w:sz w:val="28"/>
          <w:szCs w:val="28"/>
        </w:rPr>
        <w:t>围绕发旋，能加强疏通头部气血；安眠三穴在眉头内侧，可安神定志、改善睡眠；眉心穴为壮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调神要穴，能宁心安神；扁担穴位于肩部，可疏通</w:t>
      </w:r>
      <w:proofErr w:type="gramStart"/>
      <w:r>
        <w:rPr>
          <w:rFonts w:ascii="仿宋_GB2312" w:eastAsia="仿宋_GB2312" w:hAnsi="仿宋_GB2312" w:cs="仿宋_GB2312" w:hint="eastAsia"/>
          <w:sz w:val="28"/>
          <w:szCs w:val="28"/>
        </w:rPr>
        <w:t>肩</w:t>
      </w:r>
      <w:proofErr w:type="gramEnd"/>
      <w:r>
        <w:rPr>
          <w:rFonts w:ascii="仿宋_GB2312" w:eastAsia="仿宋_GB2312" w:hAnsi="仿宋_GB2312" w:cs="仿宋_GB2312" w:hint="eastAsia"/>
          <w:sz w:val="28"/>
          <w:szCs w:val="28"/>
        </w:rPr>
        <w:t>颈部气血、缓解疲劳；脐环</w:t>
      </w:r>
      <w:proofErr w:type="gramStart"/>
      <w:r>
        <w:rPr>
          <w:rFonts w:ascii="仿宋_GB2312" w:eastAsia="仿宋_GB2312" w:hAnsi="仿宋_GB2312" w:cs="仿宋_GB2312" w:hint="eastAsia"/>
          <w:sz w:val="28"/>
          <w:szCs w:val="28"/>
        </w:rPr>
        <w:t>穴</w:t>
      </w:r>
      <w:proofErr w:type="gramEnd"/>
      <w:r>
        <w:rPr>
          <w:rFonts w:ascii="仿宋_GB2312" w:eastAsia="仿宋_GB2312" w:hAnsi="仿宋_GB2312" w:cs="仿宋_GB2312" w:hint="eastAsia"/>
          <w:sz w:val="28"/>
          <w:szCs w:val="28"/>
        </w:rPr>
        <w:t>包括</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内环与</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外环，能调理谷道、水道功能；</w:t>
      </w:r>
      <w:proofErr w:type="gramStart"/>
      <w:r>
        <w:rPr>
          <w:rFonts w:ascii="仿宋_GB2312" w:eastAsia="仿宋_GB2312" w:hAnsi="仿宋_GB2312" w:cs="仿宋_GB2312" w:hint="eastAsia"/>
          <w:sz w:val="28"/>
          <w:szCs w:val="28"/>
        </w:rPr>
        <w:t>脐</w:t>
      </w:r>
      <w:proofErr w:type="gramEnd"/>
      <w:r>
        <w:rPr>
          <w:rFonts w:ascii="仿宋_GB2312" w:eastAsia="仿宋_GB2312" w:hAnsi="仿宋_GB2312" w:cs="仿宋_GB2312" w:hint="eastAsia"/>
          <w:sz w:val="28"/>
          <w:szCs w:val="28"/>
        </w:rPr>
        <w:t>行穴贯穿胸腹部，可通调三道两路；下关</w:t>
      </w:r>
      <w:proofErr w:type="gramStart"/>
      <w:r>
        <w:rPr>
          <w:rFonts w:ascii="仿宋_GB2312" w:eastAsia="仿宋_GB2312" w:hAnsi="仿宋_GB2312" w:cs="仿宋_GB2312" w:hint="eastAsia"/>
          <w:sz w:val="28"/>
          <w:szCs w:val="28"/>
        </w:rPr>
        <w:t>元位于</w:t>
      </w:r>
      <w:proofErr w:type="gramEnd"/>
      <w:r>
        <w:rPr>
          <w:rFonts w:ascii="仿宋_GB2312" w:eastAsia="仿宋_GB2312" w:hAnsi="仿宋_GB2312" w:cs="仿宋_GB2312" w:hint="eastAsia"/>
          <w:sz w:val="28"/>
          <w:szCs w:val="28"/>
        </w:rPr>
        <w:t>腹部，能补益元气、调理龙路。诸穴合用，共奏通调三道两路、调节气血运行之功。</w:t>
      </w:r>
    </w:p>
    <w:p w14:paraId="551FB6CA"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（2）配穴以“三道两路”辨证为依据分别设定。谷道气虚配手三里、足三里，手三里通调</w:t>
      </w:r>
      <w:proofErr w:type="gramStart"/>
      <w:r>
        <w:rPr>
          <w:rFonts w:ascii="仿宋_GB2312" w:eastAsia="仿宋_GB2312" w:hAnsi="仿宋_GB2312" w:cs="仿宋_GB2312" w:hint="eastAsia"/>
          <w:sz w:val="28"/>
          <w:szCs w:val="28"/>
        </w:rPr>
        <w:t>腑</w:t>
      </w:r>
      <w:proofErr w:type="gramEnd"/>
      <w:r>
        <w:rPr>
          <w:rFonts w:ascii="仿宋_GB2312" w:eastAsia="仿宋_GB2312" w:hAnsi="仿宋_GB2312" w:cs="仿宋_GB2312" w:hint="eastAsia"/>
          <w:sz w:val="28"/>
          <w:szCs w:val="28"/>
        </w:rPr>
        <w:t>气、行气活血，足三里健运谷道、补益气血，两穴合用可补气健脾、养血通络；谷道不通配上巨虚、下巨虚，上巨虚通调大</w:t>
      </w:r>
      <w:r>
        <w:rPr>
          <w:rFonts w:ascii="仿宋_GB2312" w:eastAsia="仿宋_GB2312" w:hAnsi="仿宋_GB2312" w:cs="仿宋_GB2312" w:hint="eastAsia"/>
          <w:sz w:val="28"/>
          <w:szCs w:val="28"/>
        </w:rPr>
        <w:lastRenderedPageBreak/>
        <w:t>肠</w:t>
      </w:r>
      <w:proofErr w:type="gramStart"/>
      <w:r>
        <w:rPr>
          <w:rFonts w:ascii="仿宋_GB2312" w:eastAsia="仿宋_GB2312" w:hAnsi="仿宋_GB2312" w:cs="仿宋_GB2312" w:hint="eastAsia"/>
          <w:sz w:val="28"/>
          <w:szCs w:val="28"/>
        </w:rPr>
        <w:t>腑</w:t>
      </w:r>
      <w:proofErr w:type="gramEnd"/>
      <w:r>
        <w:rPr>
          <w:rFonts w:ascii="仿宋_GB2312" w:eastAsia="仿宋_GB2312" w:hAnsi="仿宋_GB2312" w:cs="仿宋_GB2312" w:hint="eastAsia"/>
          <w:sz w:val="28"/>
          <w:szCs w:val="28"/>
        </w:rPr>
        <w:t>气，下巨虚通调小肠</w:t>
      </w:r>
      <w:proofErr w:type="gramStart"/>
      <w:r>
        <w:rPr>
          <w:rFonts w:ascii="仿宋_GB2312" w:eastAsia="仿宋_GB2312" w:hAnsi="仿宋_GB2312" w:cs="仿宋_GB2312" w:hint="eastAsia"/>
          <w:sz w:val="28"/>
          <w:szCs w:val="28"/>
        </w:rPr>
        <w:t>腑</w:t>
      </w:r>
      <w:proofErr w:type="gramEnd"/>
      <w:r>
        <w:rPr>
          <w:rFonts w:ascii="仿宋_GB2312" w:eastAsia="仿宋_GB2312" w:hAnsi="仿宋_GB2312" w:cs="仿宋_GB2312" w:hint="eastAsia"/>
          <w:sz w:val="28"/>
          <w:szCs w:val="28"/>
        </w:rPr>
        <w:t>气，两穴合用可通降谷道、行气导滞；水道</w:t>
      </w:r>
      <w:proofErr w:type="gramStart"/>
      <w:r>
        <w:rPr>
          <w:rFonts w:ascii="仿宋_GB2312" w:eastAsia="仿宋_GB2312" w:hAnsi="仿宋_GB2312" w:cs="仿宋_GB2312" w:hint="eastAsia"/>
          <w:sz w:val="28"/>
          <w:szCs w:val="28"/>
        </w:rPr>
        <w:t>不通配筑宾</w:t>
      </w:r>
      <w:proofErr w:type="gramEnd"/>
      <w:r>
        <w:rPr>
          <w:rFonts w:ascii="仿宋_GB2312" w:eastAsia="仿宋_GB2312" w:hAnsi="仿宋_GB2312" w:cs="仿宋_GB2312" w:hint="eastAsia"/>
          <w:sz w:val="28"/>
          <w:szCs w:val="28"/>
        </w:rPr>
        <w:t>、三阴交，筑宾解毒安神、通调水道，三阴交健脾利湿、调补肝肾，合用可利水渗湿、通调水道；气道不通配天突、列缺，天突宣肺理气、通利气道，列缺宣肺解表、通调任脉，合用可宣肺理气、通调气道；火路不通配内关、神门，内关宁心安神、通调气血，神门宁心安神、调理神志，合用可安神定志、通调火路；龙路</w:t>
      </w:r>
      <w:proofErr w:type="gramStart"/>
      <w:r>
        <w:rPr>
          <w:rFonts w:ascii="仿宋_GB2312" w:eastAsia="仿宋_GB2312" w:hAnsi="仿宋_GB2312" w:cs="仿宋_GB2312" w:hint="eastAsia"/>
          <w:sz w:val="28"/>
          <w:szCs w:val="28"/>
        </w:rPr>
        <w:t>瘀阻配</w:t>
      </w:r>
      <w:proofErr w:type="gramEnd"/>
      <w:r>
        <w:rPr>
          <w:rFonts w:ascii="仿宋_GB2312" w:eastAsia="仿宋_GB2312" w:hAnsi="仿宋_GB2312" w:cs="仿宋_GB2312" w:hint="eastAsia"/>
          <w:sz w:val="28"/>
          <w:szCs w:val="28"/>
        </w:rPr>
        <w:t>血海、太冲，血海活血化瘀、通调龙路，太冲疏肝理气、调畅气机，合用可活血化瘀、通调龙路。</w:t>
      </w:r>
    </w:p>
    <w:p w14:paraId="3CB449A9"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（3）主穴与配穴配合使用，既照顾慢性疲劳综合征的共同病机，又针对不同证型的特殊病机，体现整体调节与个体化治疗的结合。</w:t>
      </w:r>
    </w:p>
    <w:p w14:paraId="6B7AAFE9"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2.2 施术方法</w:t>
      </w:r>
    </w:p>
    <w:p w14:paraId="5CBB5D7A"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2.2.1 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经筋针刺选取3~10个</w:t>
      </w:r>
      <w:proofErr w:type="gramStart"/>
      <w:r>
        <w:rPr>
          <w:rFonts w:ascii="仿宋_GB2312" w:eastAsia="仿宋_GB2312" w:hAnsi="仿宋_GB2312" w:cs="仿宋_GB2312" w:hint="eastAsia"/>
          <w:sz w:val="28"/>
          <w:szCs w:val="28"/>
        </w:rPr>
        <w:t>筋</w:t>
      </w:r>
      <w:proofErr w:type="gramEnd"/>
      <w:r>
        <w:rPr>
          <w:rFonts w:ascii="仿宋_GB2312" w:eastAsia="仿宋_GB2312" w:hAnsi="仿宋_GB2312" w:cs="仿宋_GB2312" w:hint="eastAsia"/>
          <w:sz w:val="28"/>
          <w:szCs w:val="28"/>
        </w:rPr>
        <w:t>结点作为针刺点，其理论依据主要基于“以痛为输”与“多维查灶”相结合的原则，强调病灶系统的完整性和治疗的层次性。该指标还参考了《基于数据挖掘探讨韦英才教授诊治周围神经卡压综合征的筋结点选取规律》和《实用壮医筋病学》。</w:t>
      </w:r>
    </w:p>
    <w:p w14:paraId="1AFDF773"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64C41072" wp14:editId="50B7C16D">
            <wp:extent cx="4272280" cy="3383915"/>
            <wp:effectExtent l="9525" t="9525" r="23495" b="165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2"/>
                    <a:stretch>
                      <a:fillRect/>
                    </a:stretch>
                  </pic:blipFill>
                  <pic:spPr>
                    <a:xfrm>
                      <a:off x="0" y="0"/>
                      <a:ext cx="4272280" cy="3383915"/>
                    </a:xfrm>
                    <a:prstGeom prst="rect">
                      <a:avLst/>
                    </a:prstGeom>
                    <a:noFill/>
                    <a:ln>
                      <a:solidFill>
                        <a:schemeClr val="tx1"/>
                      </a:solidFill>
                    </a:ln>
                  </pic:spPr>
                </pic:pic>
              </a:graphicData>
            </a:graphic>
          </wp:inline>
        </w:drawing>
      </w:r>
    </w:p>
    <w:p w14:paraId="1C0AC05C" w14:textId="77777777" w:rsidR="004C43A5" w:rsidRDefault="00000000">
      <w:pPr>
        <w:pStyle w:val="aff7"/>
        <w:spacing w:beforeLines="0" w:before="0" w:afterLines="0" w:after="0" w:line="240" w:lineRule="auto"/>
        <w:ind w:firstLineChars="0" w:firstLine="0"/>
        <w:rPr>
          <w:rFonts w:hint="eastAsia"/>
        </w:rPr>
      </w:pPr>
      <w:r>
        <w:rPr>
          <w:rFonts w:hint="eastAsia"/>
        </w:rPr>
        <w:t>来源：基于数据挖掘探讨韦英才教授诊治周围神经卡压综合征的筋结点选取规律</w:t>
      </w:r>
    </w:p>
    <w:p w14:paraId="63824B22"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2.2.2 要求针刺前对针刺点局部皮肤进行消毒，旨在防止针刺感染。</w:t>
      </w:r>
    </w:p>
    <w:p w14:paraId="18893CA8"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2.2.3 持针与皮肤呈15°～30°</w:t>
      </w:r>
      <w:proofErr w:type="gramStart"/>
      <w:r>
        <w:rPr>
          <w:rFonts w:ascii="仿宋_GB2312" w:eastAsia="仿宋_GB2312" w:hAnsi="仿宋_GB2312" w:cs="仿宋_GB2312" w:hint="eastAsia"/>
          <w:sz w:val="28"/>
          <w:szCs w:val="28"/>
        </w:rPr>
        <w:t>角快速</w:t>
      </w:r>
      <w:proofErr w:type="gramEnd"/>
      <w:r>
        <w:rPr>
          <w:rFonts w:ascii="仿宋_GB2312" w:eastAsia="仿宋_GB2312" w:hAnsi="仿宋_GB2312" w:cs="仿宋_GB2312" w:hint="eastAsia"/>
          <w:sz w:val="28"/>
          <w:szCs w:val="28"/>
        </w:rPr>
        <w:t>斜刺，是基于经筋多位于浅筋膜与肌肉层，斜刺便于针尖直达筋结而不伤及深层重要组织；要求针尖应达</w:t>
      </w:r>
      <w:proofErr w:type="gramStart"/>
      <w:r>
        <w:rPr>
          <w:rFonts w:ascii="仿宋_GB2312" w:eastAsia="仿宋_GB2312" w:hAnsi="仿宋_GB2312" w:cs="仿宋_GB2312" w:hint="eastAsia"/>
          <w:sz w:val="28"/>
          <w:szCs w:val="28"/>
        </w:rPr>
        <w:t>筋</w:t>
      </w:r>
      <w:proofErr w:type="gramEnd"/>
      <w:r>
        <w:rPr>
          <w:rFonts w:ascii="仿宋_GB2312" w:eastAsia="仿宋_GB2312" w:hAnsi="仿宋_GB2312" w:cs="仿宋_GB2312" w:hint="eastAsia"/>
          <w:sz w:val="28"/>
          <w:szCs w:val="28"/>
        </w:rPr>
        <w:t>结点，是保证针刺直接作用于病灶。</w:t>
      </w:r>
    </w:p>
    <w:p w14:paraId="63E8C2AF"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2.2.4 留针时间定为30 min～40 min，源于壮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临床经验积累，此时长既能维持针刺效应，又便于患者耐受。</w:t>
      </w:r>
    </w:p>
    <w:p w14:paraId="7381A29D"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2.2.5 出针后对针刺部位进行常规按压，旨在预防出血和针刺点感染。</w:t>
      </w:r>
    </w:p>
    <w:p w14:paraId="4F486894" w14:textId="77777777" w:rsidR="004C43A5" w:rsidRDefault="00000000">
      <w:pPr>
        <w:pStyle w:val="aff7"/>
        <w:spacing w:beforeLines="0" w:before="0" w:afterLines="0" w:after="0"/>
        <w:ind w:firstLine="562"/>
        <w:jc w:val="both"/>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2.3 疗程</w:t>
      </w:r>
    </w:p>
    <w:p w14:paraId="27E0E63C"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规定每日治疗1次，5～10次为1个疗程，依据在于慢性疲劳综合征病程缠绵，难以短期取效，连续治疗可累积效应；5～10次为一疗程是壮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临床常用周期，便于观察疗效并及时调整方案，同时可根据患者耐受度与病情变化适当调整。</w:t>
      </w:r>
    </w:p>
    <w:p w14:paraId="79ED57EC" w14:textId="77777777" w:rsidR="004C43A5" w:rsidRDefault="00000000">
      <w:pPr>
        <w:pStyle w:val="aff7"/>
        <w:spacing w:beforeLines="0" w:before="0" w:afterLines="0" w:after="0"/>
        <w:ind w:firstLine="562"/>
        <w:jc w:val="both"/>
        <w:outlineLvl w:val="1"/>
        <w:rPr>
          <w:rFonts w:ascii="仿宋_GB2312" w:eastAsia="仿宋_GB2312" w:hAnsi="仿宋_GB2312" w:cs="仿宋_GB2312" w:hint="eastAsia"/>
          <w:sz w:val="28"/>
          <w:szCs w:val="28"/>
        </w:rPr>
      </w:pPr>
      <w:r>
        <w:rPr>
          <w:rFonts w:ascii="仿宋_GB2312" w:eastAsia="仿宋_GB2312" w:hAnsi="仿宋_GB2312" w:cs="仿宋_GB2312" w:hint="eastAsia"/>
          <w:b/>
          <w:bCs w:val="0"/>
          <w:sz w:val="28"/>
          <w:szCs w:val="28"/>
        </w:rPr>
        <w:t>（六）注意事项</w:t>
      </w:r>
    </w:p>
    <w:p w14:paraId="2152E78E"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1. 针刺前应按GB/T 21709.20的要求评估禁忌证。该标准对毫针针刺的禁忌证有明确规定，包括严重出血性疾病、针刺部位感染、肿瘤病灶等，操作前进行评估可有效规避风险，保障患者安全。</w:t>
      </w:r>
    </w:p>
    <w:p w14:paraId="0489FEF1"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34844E89" wp14:editId="52C5B2BD">
            <wp:extent cx="5247005" cy="1591945"/>
            <wp:effectExtent l="9525" t="9525" r="20320"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247005" cy="1591945"/>
                    </a:xfrm>
                    <a:prstGeom prst="rect">
                      <a:avLst/>
                    </a:prstGeom>
                    <a:noFill/>
                    <a:ln>
                      <a:solidFill>
                        <a:schemeClr val="tx1"/>
                      </a:solidFill>
                    </a:ln>
                  </pic:spPr>
                </pic:pic>
              </a:graphicData>
            </a:graphic>
          </wp:inline>
        </w:drawing>
      </w:r>
    </w:p>
    <w:p w14:paraId="3D061A8C" w14:textId="77777777" w:rsidR="004C43A5" w:rsidRDefault="00000000">
      <w:pPr>
        <w:pStyle w:val="aff7"/>
        <w:spacing w:beforeLines="0" w:before="0" w:afterLines="0" w:after="0" w:line="240" w:lineRule="auto"/>
        <w:ind w:firstLineChars="0" w:firstLine="0"/>
        <w:rPr>
          <w:rFonts w:hint="eastAsia"/>
        </w:rPr>
      </w:pPr>
      <w:r>
        <w:rPr>
          <w:rFonts w:hint="eastAsia"/>
        </w:rPr>
        <w:t>来源：GB/T 21709.20  针灸技术操作规范  第20部分：毫针基本刺法</w:t>
      </w:r>
    </w:p>
    <w:p w14:paraId="2E355323"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2. 针刺时应避开大血管。大血管分布区域针刺可能引起出血、血肿，若误伤较大动脉则出血不易控制，严重者可形成局部压迫或影响远端血供，故操作中应充分了解局部解剖，避免损伤。</w:t>
      </w:r>
    </w:p>
    <w:p w14:paraId="4EC33D3B"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3. 深部有重要脏器的</w:t>
      </w:r>
      <w:proofErr w:type="gramStart"/>
      <w:r>
        <w:rPr>
          <w:rFonts w:ascii="仿宋_GB2312" w:eastAsia="仿宋_GB2312" w:hAnsi="仿宋_GB2312" w:cs="仿宋_GB2312" w:hint="eastAsia"/>
          <w:sz w:val="28"/>
          <w:szCs w:val="28"/>
        </w:rPr>
        <w:t>腧</w:t>
      </w:r>
      <w:proofErr w:type="gramEnd"/>
      <w:r>
        <w:rPr>
          <w:rFonts w:ascii="仿宋_GB2312" w:eastAsia="仿宋_GB2312" w:hAnsi="仿宋_GB2312" w:cs="仿宋_GB2312" w:hint="eastAsia"/>
          <w:sz w:val="28"/>
          <w:szCs w:val="28"/>
        </w:rPr>
        <w:t>穴应控制深度。胸、背、</w:t>
      </w:r>
      <w:proofErr w:type="gramStart"/>
      <w:r>
        <w:rPr>
          <w:rFonts w:ascii="仿宋_GB2312" w:eastAsia="仿宋_GB2312" w:hAnsi="仿宋_GB2312" w:cs="仿宋_GB2312" w:hint="eastAsia"/>
          <w:sz w:val="28"/>
          <w:szCs w:val="28"/>
        </w:rPr>
        <w:t>胁</w:t>
      </w:r>
      <w:proofErr w:type="gramEnd"/>
      <w:r>
        <w:rPr>
          <w:rFonts w:ascii="仿宋_GB2312" w:eastAsia="仿宋_GB2312" w:hAnsi="仿宋_GB2312" w:cs="仿宋_GB2312" w:hint="eastAsia"/>
          <w:sz w:val="28"/>
          <w:szCs w:val="28"/>
        </w:rPr>
        <w:t>肋等部位深层有心、肝、脾、肺等重要脏器，针刺过深可造成气胸、脏器损伤等严重后果，必须根据患者体型胖瘦掌握安全深度，必要时采用斜刺或浅刺。</w:t>
      </w:r>
    </w:p>
    <w:p w14:paraId="3310E045"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4. 提插幅度、捻转角度、频率等应根据患者情况调整。患者体质有强弱虚实之别，对针刺的敏感度和耐受度各不相同，操作手法过于</w:t>
      </w:r>
      <w:proofErr w:type="gramStart"/>
      <w:r>
        <w:rPr>
          <w:rFonts w:ascii="仿宋_GB2312" w:eastAsia="仿宋_GB2312" w:hAnsi="仿宋_GB2312" w:cs="仿宋_GB2312" w:hint="eastAsia"/>
          <w:sz w:val="28"/>
          <w:szCs w:val="28"/>
        </w:rPr>
        <w:t>强烈可</w:t>
      </w:r>
      <w:proofErr w:type="gramEnd"/>
      <w:r>
        <w:rPr>
          <w:rFonts w:ascii="仿宋_GB2312" w:eastAsia="仿宋_GB2312" w:hAnsi="仿宋_GB2312" w:cs="仿宋_GB2312" w:hint="eastAsia"/>
          <w:sz w:val="28"/>
          <w:szCs w:val="28"/>
        </w:rPr>
        <w:t>加重不适甚至诱发晕针，过于轻缓则可能达不到预期刺激量，需因人制宜灵活掌握。</w:t>
      </w:r>
    </w:p>
    <w:p w14:paraId="297876C2"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5. 针刺不良反应按GB/T 33415的规定处理。晕针、滞针、弯针、断针、血肿等异常情况虽可预防但难以完全杜绝，GB/T 33415对各类异常反应的处理有明确规范，操作者应熟悉相关内容以确保发生问题时能及时正确应对。</w:t>
      </w:r>
    </w:p>
    <w:p w14:paraId="0D70B317"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0566D5C1" wp14:editId="5522FF77">
            <wp:extent cx="4804410" cy="2973705"/>
            <wp:effectExtent l="9525" t="9525" r="24765" b="2667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4"/>
                    <a:stretch>
                      <a:fillRect/>
                    </a:stretch>
                  </pic:blipFill>
                  <pic:spPr>
                    <a:xfrm>
                      <a:off x="0" y="0"/>
                      <a:ext cx="4804410" cy="2973705"/>
                    </a:xfrm>
                    <a:prstGeom prst="rect">
                      <a:avLst/>
                    </a:prstGeom>
                    <a:noFill/>
                    <a:ln>
                      <a:solidFill>
                        <a:schemeClr val="tx1"/>
                      </a:solidFill>
                    </a:ln>
                  </pic:spPr>
                </pic:pic>
              </a:graphicData>
            </a:graphic>
          </wp:inline>
        </w:drawing>
      </w:r>
    </w:p>
    <w:p w14:paraId="37933F31" w14:textId="77777777" w:rsidR="004C43A5" w:rsidRDefault="00000000">
      <w:pPr>
        <w:pStyle w:val="aff7"/>
        <w:spacing w:beforeLines="0" w:before="0" w:afterLines="0" w:after="0" w:line="240" w:lineRule="auto"/>
        <w:ind w:firstLineChars="0" w:firstLine="0"/>
        <w:rPr>
          <w:rFonts w:hint="eastAsia"/>
        </w:rPr>
      </w:pPr>
      <w:r>
        <w:rPr>
          <w:rFonts w:hint="eastAsia"/>
        </w:rPr>
        <w:t>来源：GB/T 33415  针灸异常情况处理</w:t>
      </w:r>
    </w:p>
    <w:p w14:paraId="26EBF95E" w14:textId="0A104F37" w:rsidR="004C43A5" w:rsidRDefault="00000000">
      <w:pPr>
        <w:pStyle w:val="aff7"/>
        <w:spacing w:beforeLines="0" w:before="0" w:afterLines="0" w:after="0"/>
        <w:ind w:firstLine="562"/>
        <w:jc w:val="both"/>
        <w:outlineLvl w:val="1"/>
        <w:rPr>
          <w:rFonts w:ascii="仿宋_GB2312" w:eastAsia="仿宋_GB2312" w:hAnsi="仿宋_GB2312" w:cs="仿宋_GB2312" w:hint="eastAsia"/>
          <w:b/>
          <w:bCs w:val="0"/>
          <w:sz w:val="28"/>
          <w:szCs w:val="28"/>
        </w:rPr>
      </w:pPr>
      <w:r>
        <w:rPr>
          <w:rFonts w:ascii="仿宋_GB2312" w:eastAsia="仿宋_GB2312" w:hAnsi="仿宋_GB2312" w:cs="仿宋_GB2312" w:hint="eastAsia"/>
          <w:b/>
          <w:bCs w:val="0"/>
          <w:sz w:val="28"/>
          <w:szCs w:val="28"/>
        </w:rPr>
        <w:t>（七）</w:t>
      </w:r>
      <w:r w:rsidR="00115A62">
        <w:rPr>
          <w:rFonts w:ascii="仿宋_GB2312" w:eastAsia="仿宋_GB2312" w:hAnsi="仿宋_GB2312" w:cs="仿宋_GB2312" w:hint="eastAsia"/>
          <w:b/>
          <w:bCs w:val="0"/>
          <w:sz w:val="28"/>
          <w:szCs w:val="28"/>
        </w:rPr>
        <w:t>宣传教育</w:t>
      </w:r>
    </w:p>
    <w:p w14:paraId="45CA5853"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1 应将每日活动量控制在个人耐受限度内。慢性疲劳综合征患者活动耐力明显下降，过度消耗会加重症状、延长病程，但完全不活动又会导致肌肉萎缩、功能衰退，故需根据当日体力状况动态调整，以活动后不加重疲劳为度。</w:t>
      </w:r>
    </w:p>
    <w:p w14:paraId="7EAB456F" w14:textId="77777777" w:rsidR="004C43A5" w:rsidRDefault="00000000">
      <w:pPr>
        <w:pStyle w:val="aff7"/>
        <w:numPr>
          <w:ilvl w:val="0"/>
          <w:numId w:val="11"/>
        </w:numPr>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lastRenderedPageBreak/>
        <w:t>应保持规律作息，并采取针对性措施改善睡眠。睡眠障碍与慢性疲劳互为因果，规律作息有助于重建生物节律；同时失眠、多梦、早醒等不同表现需区别对待，如睡前放松、环境调整、固定作息时间等，必要时结合火路调理。</w:t>
      </w:r>
    </w:p>
    <w:p w14:paraId="0B93B900"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3 可</w:t>
      </w:r>
      <w:proofErr w:type="gramStart"/>
      <w:r>
        <w:rPr>
          <w:rFonts w:ascii="仿宋_GB2312" w:eastAsia="仿宋_GB2312" w:hAnsi="仿宋_GB2312" w:cs="仿宋_GB2312" w:hint="eastAsia"/>
          <w:sz w:val="28"/>
          <w:szCs w:val="28"/>
        </w:rPr>
        <w:t>进行低</w:t>
      </w:r>
      <w:proofErr w:type="gramEnd"/>
      <w:r>
        <w:rPr>
          <w:rFonts w:ascii="仿宋_GB2312" w:eastAsia="仿宋_GB2312" w:hAnsi="仿宋_GB2312" w:cs="仿宋_GB2312" w:hint="eastAsia"/>
          <w:sz w:val="28"/>
          <w:szCs w:val="28"/>
        </w:rPr>
        <w:t>强度、适应性运动，如按T/GXAS 1061的要求进</w:t>
      </w:r>
      <w:proofErr w:type="gramStart"/>
      <w:r>
        <w:rPr>
          <w:rFonts w:ascii="仿宋_GB2312" w:eastAsia="仿宋_GB2312" w:hAnsi="仿宋_GB2312" w:cs="仿宋_GB2312" w:hint="eastAsia"/>
          <w:sz w:val="28"/>
          <w:szCs w:val="28"/>
        </w:rPr>
        <w:t>行壮医</w:t>
      </w:r>
      <w:proofErr w:type="gramEnd"/>
      <w:r>
        <w:rPr>
          <w:rFonts w:ascii="仿宋_GB2312" w:eastAsia="仿宋_GB2312" w:hAnsi="仿宋_GB2312" w:cs="仿宋_GB2312" w:hint="eastAsia"/>
          <w:sz w:val="28"/>
          <w:szCs w:val="28"/>
        </w:rPr>
        <w:t>三气养生操。低强度运动有助于气血流通、改善情绪，但高强度运动耗气伤形，可诱发或加重疲劳，故需严格控制运动强度与时长。壮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三气养生操以“天、人、地”三气同步理论为指导，动作舒缓，适合慢性疲劳综合征患者长期锻炼。</w:t>
      </w:r>
    </w:p>
    <w:p w14:paraId="3D2CEA46" w14:textId="77777777" w:rsidR="004C43A5" w:rsidRDefault="00000000">
      <w:pPr>
        <w:pStyle w:val="aff7"/>
        <w:spacing w:beforeLines="0" w:before="0" w:afterLines="0" w:after="0" w:line="240" w:lineRule="auto"/>
        <w:ind w:firstLineChars="0" w:firstLine="0"/>
        <w:rPr>
          <w:rFonts w:hint="eastAsia"/>
        </w:rPr>
      </w:pPr>
      <w:r>
        <w:rPr>
          <w:noProof/>
        </w:rPr>
        <w:drawing>
          <wp:inline distT="0" distB="0" distL="114300" distR="114300" wp14:anchorId="3AAF5478" wp14:editId="73484A12">
            <wp:extent cx="3888105" cy="2950845"/>
            <wp:effectExtent l="0" t="0" r="17145" b="19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3888105" cy="2950845"/>
                    </a:xfrm>
                    <a:prstGeom prst="rect">
                      <a:avLst/>
                    </a:prstGeom>
                    <a:noFill/>
                    <a:ln>
                      <a:noFill/>
                    </a:ln>
                  </pic:spPr>
                </pic:pic>
              </a:graphicData>
            </a:graphic>
          </wp:inline>
        </w:drawing>
      </w:r>
    </w:p>
    <w:p w14:paraId="7F245EE3" w14:textId="77777777" w:rsidR="004C43A5" w:rsidRDefault="00000000">
      <w:pPr>
        <w:pStyle w:val="aff7"/>
        <w:spacing w:beforeLines="0" w:before="0" w:afterLines="0" w:after="0" w:line="240" w:lineRule="auto"/>
        <w:ind w:firstLineChars="0" w:firstLine="0"/>
        <w:rPr>
          <w:rFonts w:hint="eastAsia"/>
        </w:rPr>
      </w:pPr>
      <w:r>
        <w:rPr>
          <w:rFonts w:hint="eastAsia"/>
        </w:rPr>
        <w:t>来源：T/GXAS 1061  健身运动  壮</w:t>
      </w:r>
      <w:proofErr w:type="gramStart"/>
      <w:r>
        <w:rPr>
          <w:rFonts w:hint="eastAsia"/>
        </w:rPr>
        <w:t>医</w:t>
      </w:r>
      <w:proofErr w:type="gramEnd"/>
      <w:r>
        <w:rPr>
          <w:rFonts w:hint="eastAsia"/>
        </w:rPr>
        <w:t>三气养生</w:t>
      </w:r>
      <w:proofErr w:type="gramStart"/>
      <w:r>
        <w:rPr>
          <w:rFonts w:hint="eastAsia"/>
        </w:rPr>
        <w:t>操技术</w:t>
      </w:r>
      <w:proofErr w:type="gramEnd"/>
      <w:r>
        <w:rPr>
          <w:rFonts w:hint="eastAsia"/>
        </w:rPr>
        <w:t>规范</w:t>
      </w:r>
    </w:p>
    <w:p w14:paraId="3159140A"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4 饮食应均衡、易消化。脾胃运化功能本已偏弱，油腻、生冷、难消化之物易加重谷道负担；少食多餐、粗细搭配、避免精制糖摄入过多过快，可维持血糖平稳，减少因血糖波动引起的疲劳感。</w:t>
      </w:r>
    </w:p>
    <w:p w14:paraId="41629AED" w14:textId="77777777" w:rsidR="004C43A5" w:rsidRDefault="004C43A5">
      <w:pPr>
        <w:pStyle w:val="aff7"/>
        <w:spacing w:beforeLines="0" w:before="0" w:afterLines="0" w:after="0"/>
        <w:ind w:firstLine="560"/>
        <w:jc w:val="both"/>
        <w:rPr>
          <w:rFonts w:ascii="仿宋_GB2312" w:eastAsia="仿宋_GB2312" w:hAnsi="仿宋_GB2312" w:cs="仿宋_GB2312" w:hint="eastAsia"/>
          <w:sz w:val="28"/>
          <w:szCs w:val="28"/>
        </w:rPr>
      </w:pPr>
    </w:p>
    <w:p w14:paraId="7EDE4106"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以下是近年来壮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经筋针刺治疗慢性疲劳综合征的记录：</w:t>
      </w:r>
    </w:p>
    <w:p w14:paraId="2F717599" w14:textId="77777777" w:rsidR="004C43A5" w:rsidRDefault="00000000">
      <w:pPr>
        <w:pStyle w:val="aff7"/>
        <w:widowControl w:val="0"/>
        <w:ind w:firstLineChars="0" w:firstLine="0"/>
        <w:rPr>
          <w:rFonts w:hint="eastAsia"/>
        </w:rPr>
      </w:pPr>
      <w:r>
        <w:rPr>
          <w:rFonts w:hint="eastAsia"/>
        </w:rPr>
        <w:t>壮</w:t>
      </w:r>
      <w:proofErr w:type="gramStart"/>
      <w:r>
        <w:rPr>
          <w:rFonts w:hint="eastAsia"/>
        </w:rPr>
        <w:t>医</w:t>
      </w:r>
      <w:proofErr w:type="gramEnd"/>
      <w:r>
        <w:rPr>
          <w:rFonts w:hint="eastAsia"/>
        </w:rPr>
        <w:t>经筋针刺治疗慢性疲劳综合征记录</w:t>
      </w:r>
    </w:p>
    <w:tbl>
      <w:tblPr>
        <w:tblStyle w:val="aff"/>
        <w:tblW w:w="8799" w:type="dxa"/>
        <w:jc w:val="center"/>
        <w:tblLook w:val="04A0" w:firstRow="1" w:lastRow="0" w:firstColumn="1" w:lastColumn="0" w:noHBand="0" w:noVBand="1"/>
      </w:tblPr>
      <w:tblGrid>
        <w:gridCol w:w="980"/>
        <w:gridCol w:w="980"/>
        <w:gridCol w:w="1300"/>
        <w:gridCol w:w="5539"/>
      </w:tblGrid>
      <w:tr w:rsidR="004C43A5" w14:paraId="51AB4F50" w14:textId="77777777">
        <w:trPr>
          <w:trHeight w:val="667"/>
          <w:jc w:val="center"/>
        </w:trPr>
        <w:tc>
          <w:tcPr>
            <w:tcW w:w="980" w:type="dxa"/>
            <w:vAlign w:val="center"/>
          </w:tcPr>
          <w:p w14:paraId="2EB93025"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医院</w:t>
            </w:r>
          </w:p>
        </w:tc>
        <w:tc>
          <w:tcPr>
            <w:tcW w:w="980" w:type="dxa"/>
            <w:vAlign w:val="center"/>
          </w:tcPr>
          <w:p w14:paraId="1178D2D0"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年份</w:t>
            </w:r>
          </w:p>
        </w:tc>
        <w:tc>
          <w:tcPr>
            <w:tcW w:w="1300" w:type="dxa"/>
            <w:vAlign w:val="center"/>
          </w:tcPr>
          <w:p w14:paraId="633C211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治疗人数</w:t>
            </w:r>
          </w:p>
        </w:tc>
        <w:tc>
          <w:tcPr>
            <w:tcW w:w="5539" w:type="dxa"/>
            <w:vAlign w:val="center"/>
          </w:tcPr>
          <w:p w14:paraId="14CE8404"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治疗效果</w:t>
            </w:r>
          </w:p>
        </w:tc>
      </w:tr>
      <w:tr w:rsidR="004C43A5" w14:paraId="190C0761" w14:textId="77777777">
        <w:trPr>
          <w:trHeight w:val="687"/>
          <w:jc w:val="center"/>
        </w:trPr>
        <w:tc>
          <w:tcPr>
            <w:tcW w:w="980" w:type="dxa"/>
            <w:vMerge w:val="restart"/>
            <w:vAlign w:val="center"/>
          </w:tcPr>
          <w:p w14:paraId="340EA34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lastRenderedPageBreak/>
              <w:t>A</w:t>
            </w:r>
          </w:p>
        </w:tc>
        <w:tc>
          <w:tcPr>
            <w:tcW w:w="980" w:type="dxa"/>
            <w:vAlign w:val="center"/>
          </w:tcPr>
          <w:p w14:paraId="309BA8C0"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2022</w:t>
            </w:r>
          </w:p>
        </w:tc>
        <w:tc>
          <w:tcPr>
            <w:tcW w:w="1300" w:type="dxa"/>
            <w:vAlign w:val="center"/>
          </w:tcPr>
          <w:p w14:paraId="5EA5972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122</w:t>
            </w:r>
          </w:p>
        </w:tc>
        <w:tc>
          <w:tcPr>
            <w:tcW w:w="5539" w:type="dxa"/>
            <w:vAlign w:val="center"/>
          </w:tcPr>
          <w:p w14:paraId="11A599DA"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共治疗122例患者，其中痊愈44例，显效65例，有效10例，无效3例，总有效率97.5%</w:t>
            </w:r>
          </w:p>
        </w:tc>
      </w:tr>
      <w:tr w:rsidR="004C43A5" w14:paraId="005597C9" w14:textId="77777777">
        <w:trPr>
          <w:trHeight w:val="687"/>
          <w:jc w:val="center"/>
        </w:trPr>
        <w:tc>
          <w:tcPr>
            <w:tcW w:w="980" w:type="dxa"/>
            <w:vMerge/>
            <w:vAlign w:val="center"/>
          </w:tcPr>
          <w:p w14:paraId="7D83DD24"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46C7A42A"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2023</w:t>
            </w:r>
          </w:p>
        </w:tc>
        <w:tc>
          <w:tcPr>
            <w:tcW w:w="1300" w:type="dxa"/>
            <w:vAlign w:val="center"/>
          </w:tcPr>
          <w:p w14:paraId="73F1C349"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156</w:t>
            </w:r>
          </w:p>
        </w:tc>
        <w:tc>
          <w:tcPr>
            <w:tcW w:w="5539" w:type="dxa"/>
            <w:vAlign w:val="center"/>
          </w:tcPr>
          <w:p w14:paraId="1CDDB42B"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共治疗156例患者，其中痊愈56例，显效50例，有效45例，无效5例，总有效率96.8%</w:t>
            </w:r>
          </w:p>
        </w:tc>
      </w:tr>
      <w:tr w:rsidR="004C43A5" w14:paraId="169C2B95" w14:textId="77777777">
        <w:trPr>
          <w:trHeight w:val="687"/>
          <w:jc w:val="center"/>
        </w:trPr>
        <w:tc>
          <w:tcPr>
            <w:tcW w:w="980" w:type="dxa"/>
            <w:vMerge/>
            <w:vAlign w:val="center"/>
          </w:tcPr>
          <w:p w14:paraId="6EACBC67"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73C4B912"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2024</w:t>
            </w:r>
          </w:p>
        </w:tc>
        <w:tc>
          <w:tcPr>
            <w:tcW w:w="1300" w:type="dxa"/>
            <w:vAlign w:val="center"/>
          </w:tcPr>
          <w:p w14:paraId="5CFCE74A"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267</w:t>
            </w:r>
          </w:p>
        </w:tc>
        <w:tc>
          <w:tcPr>
            <w:tcW w:w="5539" w:type="dxa"/>
            <w:vAlign w:val="center"/>
          </w:tcPr>
          <w:p w14:paraId="6D41F68B"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共治疗267例患者，其中痊愈72例，显效135例，有效56例，无效4例，总有效率98.5%</w:t>
            </w:r>
          </w:p>
        </w:tc>
      </w:tr>
      <w:tr w:rsidR="004C43A5" w14:paraId="0E116BC8" w14:textId="77777777">
        <w:trPr>
          <w:trHeight w:val="687"/>
          <w:jc w:val="center"/>
        </w:trPr>
        <w:tc>
          <w:tcPr>
            <w:tcW w:w="980" w:type="dxa"/>
            <w:vMerge/>
            <w:vAlign w:val="center"/>
          </w:tcPr>
          <w:p w14:paraId="0040BAFD"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4E5236C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2025</w:t>
            </w:r>
          </w:p>
        </w:tc>
        <w:tc>
          <w:tcPr>
            <w:tcW w:w="1300" w:type="dxa"/>
            <w:vAlign w:val="center"/>
          </w:tcPr>
          <w:p w14:paraId="430D4DD6"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320</w:t>
            </w:r>
          </w:p>
        </w:tc>
        <w:tc>
          <w:tcPr>
            <w:tcW w:w="5539" w:type="dxa"/>
            <w:vAlign w:val="center"/>
          </w:tcPr>
          <w:p w14:paraId="706FDA2A"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共治疗320例患者，其中痊愈76例，显效173例，有67效例，无效8例，总有效率97.5%</w:t>
            </w:r>
          </w:p>
        </w:tc>
      </w:tr>
      <w:tr w:rsidR="004C43A5" w14:paraId="403EECB2" w14:textId="77777777">
        <w:trPr>
          <w:trHeight w:val="687"/>
          <w:jc w:val="center"/>
        </w:trPr>
        <w:tc>
          <w:tcPr>
            <w:tcW w:w="980" w:type="dxa"/>
            <w:vMerge w:val="restart"/>
            <w:vAlign w:val="center"/>
          </w:tcPr>
          <w:p w14:paraId="4D608822"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B</w:t>
            </w:r>
          </w:p>
        </w:tc>
        <w:tc>
          <w:tcPr>
            <w:tcW w:w="980" w:type="dxa"/>
            <w:vAlign w:val="center"/>
          </w:tcPr>
          <w:p w14:paraId="0B536E33"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2022</w:t>
            </w:r>
          </w:p>
        </w:tc>
        <w:tc>
          <w:tcPr>
            <w:tcW w:w="1300" w:type="dxa"/>
            <w:vAlign w:val="center"/>
          </w:tcPr>
          <w:p w14:paraId="1AB758F2"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103</w:t>
            </w:r>
          </w:p>
        </w:tc>
        <w:tc>
          <w:tcPr>
            <w:tcW w:w="5539" w:type="dxa"/>
            <w:vAlign w:val="center"/>
          </w:tcPr>
          <w:p w14:paraId="06DBFB2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共治疗103例患者，其中痊愈26例，显效28例，有效47例，无效2例，总有效率98.06%</w:t>
            </w:r>
          </w:p>
        </w:tc>
      </w:tr>
      <w:tr w:rsidR="004C43A5" w14:paraId="147C8144" w14:textId="77777777">
        <w:trPr>
          <w:trHeight w:val="687"/>
          <w:jc w:val="center"/>
        </w:trPr>
        <w:tc>
          <w:tcPr>
            <w:tcW w:w="980" w:type="dxa"/>
            <w:vMerge/>
            <w:vAlign w:val="center"/>
          </w:tcPr>
          <w:p w14:paraId="490B4739"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50B83863"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2023</w:t>
            </w:r>
          </w:p>
        </w:tc>
        <w:tc>
          <w:tcPr>
            <w:tcW w:w="1300" w:type="dxa"/>
            <w:vAlign w:val="center"/>
          </w:tcPr>
          <w:p w14:paraId="46581045"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149</w:t>
            </w:r>
          </w:p>
        </w:tc>
        <w:tc>
          <w:tcPr>
            <w:tcW w:w="5539" w:type="dxa"/>
            <w:vAlign w:val="center"/>
          </w:tcPr>
          <w:p w14:paraId="3B750CE5"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共治疗149例患者，其中痊愈32例，显效58例，有效54例，无效5例，总有效率96.64%</w:t>
            </w:r>
          </w:p>
        </w:tc>
      </w:tr>
      <w:tr w:rsidR="004C43A5" w14:paraId="507CB79D" w14:textId="77777777">
        <w:trPr>
          <w:trHeight w:val="687"/>
          <w:jc w:val="center"/>
        </w:trPr>
        <w:tc>
          <w:tcPr>
            <w:tcW w:w="980" w:type="dxa"/>
            <w:vMerge/>
            <w:vAlign w:val="center"/>
          </w:tcPr>
          <w:p w14:paraId="0777B98A"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1715A094"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2024</w:t>
            </w:r>
          </w:p>
        </w:tc>
        <w:tc>
          <w:tcPr>
            <w:tcW w:w="1300" w:type="dxa"/>
            <w:vAlign w:val="center"/>
          </w:tcPr>
          <w:p w14:paraId="33BDFF25"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217</w:t>
            </w:r>
          </w:p>
        </w:tc>
        <w:tc>
          <w:tcPr>
            <w:tcW w:w="5539" w:type="dxa"/>
            <w:vAlign w:val="center"/>
          </w:tcPr>
          <w:p w14:paraId="1AF1FCD2"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共治疗217例患者，其中痊愈67例，显效131例，有效17例，无效2例，总有效率99.09%</w:t>
            </w:r>
          </w:p>
        </w:tc>
      </w:tr>
      <w:tr w:rsidR="004C43A5" w14:paraId="12317FB9" w14:textId="77777777">
        <w:trPr>
          <w:trHeight w:val="687"/>
          <w:jc w:val="center"/>
        </w:trPr>
        <w:tc>
          <w:tcPr>
            <w:tcW w:w="980" w:type="dxa"/>
            <w:vMerge/>
            <w:vAlign w:val="center"/>
          </w:tcPr>
          <w:p w14:paraId="5B9CEC22"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2E1BB5FC"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2025</w:t>
            </w:r>
          </w:p>
        </w:tc>
        <w:tc>
          <w:tcPr>
            <w:tcW w:w="1300" w:type="dxa"/>
            <w:vAlign w:val="center"/>
          </w:tcPr>
          <w:p w14:paraId="78215205"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268</w:t>
            </w:r>
          </w:p>
        </w:tc>
        <w:tc>
          <w:tcPr>
            <w:tcW w:w="5539" w:type="dxa"/>
            <w:vAlign w:val="center"/>
          </w:tcPr>
          <w:p w14:paraId="315482FA"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共治疗268例患者，其中痊愈73例，显效152例，有效40例，无效3例，总有效率98.89%</w:t>
            </w:r>
          </w:p>
        </w:tc>
      </w:tr>
      <w:tr w:rsidR="004C43A5" w14:paraId="7499471E" w14:textId="77777777">
        <w:trPr>
          <w:trHeight w:val="687"/>
          <w:jc w:val="center"/>
        </w:trPr>
        <w:tc>
          <w:tcPr>
            <w:tcW w:w="980" w:type="dxa"/>
            <w:vMerge w:val="restart"/>
            <w:vAlign w:val="center"/>
          </w:tcPr>
          <w:p w14:paraId="0FFD99F4"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C</w:t>
            </w:r>
          </w:p>
        </w:tc>
        <w:tc>
          <w:tcPr>
            <w:tcW w:w="980" w:type="dxa"/>
            <w:vAlign w:val="center"/>
          </w:tcPr>
          <w:p w14:paraId="0F07CC8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2022</w:t>
            </w:r>
          </w:p>
        </w:tc>
        <w:tc>
          <w:tcPr>
            <w:tcW w:w="1300" w:type="dxa"/>
            <w:vAlign w:val="center"/>
          </w:tcPr>
          <w:p w14:paraId="393E3B4C"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106</w:t>
            </w:r>
          </w:p>
        </w:tc>
        <w:tc>
          <w:tcPr>
            <w:tcW w:w="5539" w:type="dxa"/>
            <w:vAlign w:val="center"/>
          </w:tcPr>
          <w:p w14:paraId="2375ADCD"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共治疗106例患者，其中痊愈27例，显效29例，有效47例，无效3例，总有效率97.2%</w:t>
            </w:r>
          </w:p>
        </w:tc>
      </w:tr>
      <w:tr w:rsidR="004C43A5" w14:paraId="24EF2289" w14:textId="77777777">
        <w:trPr>
          <w:trHeight w:val="687"/>
          <w:jc w:val="center"/>
        </w:trPr>
        <w:tc>
          <w:tcPr>
            <w:tcW w:w="980" w:type="dxa"/>
            <w:vMerge/>
            <w:vAlign w:val="center"/>
          </w:tcPr>
          <w:p w14:paraId="374A4C33"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385A1592"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2023</w:t>
            </w:r>
          </w:p>
        </w:tc>
        <w:tc>
          <w:tcPr>
            <w:tcW w:w="1300" w:type="dxa"/>
            <w:vAlign w:val="center"/>
          </w:tcPr>
          <w:p w14:paraId="72FA621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156</w:t>
            </w:r>
          </w:p>
        </w:tc>
        <w:tc>
          <w:tcPr>
            <w:tcW w:w="5539" w:type="dxa"/>
            <w:vAlign w:val="center"/>
          </w:tcPr>
          <w:p w14:paraId="0A922DA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共治疗156例患者，其中痊愈36例，显效60例，有效56例，无效4例，总有效率97.4%</w:t>
            </w:r>
          </w:p>
        </w:tc>
      </w:tr>
      <w:tr w:rsidR="004C43A5" w14:paraId="22CF7964" w14:textId="77777777">
        <w:trPr>
          <w:trHeight w:val="687"/>
          <w:jc w:val="center"/>
        </w:trPr>
        <w:tc>
          <w:tcPr>
            <w:tcW w:w="980" w:type="dxa"/>
            <w:vMerge/>
            <w:vAlign w:val="center"/>
          </w:tcPr>
          <w:p w14:paraId="050CAFB3"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52BD15E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2024</w:t>
            </w:r>
          </w:p>
        </w:tc>
        <w:tc>
          <w:tcPr>
            <w:tcW w:w="1300" w:type="dxa"/>
            <w:vAlign w:val="center"/>
          </w:tcPr>
          <w:p w14:paraId="3AFE41B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230</w:t>
            </w:r>
          </w:p>
        </w:tc>
        <w:tc>
          <w:tcPr>
            <w:tcW w:w="5539" w:type="dxa"/>
            <w:vAlign w:val="center"/>
          </w:tcPr>
          <w:p w14:paraId="472CF568"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共治疗230例患者，其中痊愈72例，显效135例，有效19例，无效4例，总有效率98.3%</w:t>
            </w:r>
          </w:p>
        </w:tc>
      </w:tr>
      <w:tr w:rsidR="004C43A5" w14:paraId="6FEA9041" w14:textId="77777777">
        <w:trPr>
          <w:trHeight w:val="687"/>
          <w:jc w:val="center"/>
        </w:trPr>
        <w:tc>
          <w:tcPr>
            <w:tcW w:w="980" w:type="dxa"/>
            <w:vMerge/>
            <w:vAlign w:val="center"/>
          </w:tcPr>
          <w:p w14:paraId="0C70A64E" w14:textId="77777777" w:rsidR="004C43A5" w:rsidRDefault="004C43A5">
            <w:pPr>
              <w:pStyle w:val="aff7"/>
              <w:widowControl w:val="0"/>
              <w:spacing w:beforeLines="0" w:before="0" w:afterLines="0" w:after="0" w:line="400" w:lineRule="exact"/>
              <w:ind w:firstLineChars="0" w:firstLine="0"/>
              <w:rPr>
                <w:rFonts w:ascii="仿宋_GB2312" w:eastAsia="仿宋_GB2312" w:cs="仿宋" w:hint="eastAsia"/>
              </w:rPr>
            </w:pPr>
          </w:p>
        </w:tc>
        <w:tc>
          <w:tcPr>
            <w:tcW w:w="980" w:type="dxa"/>
            <w:vAlign w:val="center"/>
          </w:tcPr>
          <w:p w14:paraId="58A8C1EC"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2025</w:t>
            </w:r>
          </w:p>
        </w:tc>
        <w:tc>
          <w:tcPr>
            <w:tcW w:w="1300" w:type="dxa"/>
            <w:vAlign w:val="center"/>
          </w:tcPr>
          <w:p w14:paraId="5D244E6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280</w:t>
            </w:r>
          </w:p>
        </w:tc>
        <w:tc>
          <w:tcPr>
            <w:tcW w:w="5539" w:type="dxa"/>
            <w:vAlign w:val="center"/>
          </w:tcPr>
          <w:p w14:paraId="54E1A7AE" w14:textId="77777777" w:rsidR="004C43A5" w:rsidRDefault="00000000">
            <w:pPr>
              <w:pStyle w:val="aff7"/>
              <w:widowControl w:val="0"/>
              <w:spacing w:beforeLines="0" w:before="0" w:afterLines="0" w:after="0" w:line="400" w:lineRule="exact"/>
              <w:ind w:firstLineChars="0" w:firstLine="0"/>
              <w:rPr>
                <w:rFonts w:ascii="仿宋_GB2312" w:eastAsia="仿宋_GB2312" w:cs="仿宋" w:hint="eastAsia"/>
              </w:rPr>
            </w:pPr>
            <w:r>
              <w:rPr>
                <w:rFonts w:ascii="仿宋_GB2312" w:eastAsia="仿宋_GB2312" w:cs="仿宋" w:hint="eastAsia"/>
              </w:rPr>
              <w:t>共治疗280例患者，其中痊愈79例，显效155例，有效42例，无效4例，总有效率98.6%</w:t>
            </w:r>
          </w:p>
        </w:tc>
      </w:tr>
    </w:tbl>
    <w:p w14:paraId="14AD09D9" w14:textId="77777777" w:rsidR="004C43A5" w:rsidRDefault="00000000">
      <w:pPr>
        <w:pStyle w:val="aff7"/>
        <w:spacing w:beforeLines="0" w:before="0" w:afterLines="0" w:after="0"/>
        <w:ind w:firstLine="560"/>
        <w:jc w:val="both"/>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上述临床数据显示，壮</w:t>
      </w:r>
      <w:proofErr w:type="gramStart"/>
      <w:r>
        <w:rPr>
          <w:rFonts w:ascii="仿宋_GB2312" w:eastAsia="仿宋_GB2312" w:hAnsi="仿宋_GB2312" w:cs="仿宋_GB2312" w:hint="eastAsia"/>
          <w:sz w:val="28"/>
          <w:szCs w:val="28"/>
        </w:rPr>
        <w:t>医</w:t>
      </w:r>
      <w:proofErr w:type="gramEnd"/>
      <w:r>
        <w:rPr>
          <w:rFonts w:ascii="仿宋_GB2312" w:eastAsia="仿宋_GB2312" w:hAnsi="仿宋_GB2312" w:cs="仿宋_GB2312" w:hint="eastAsia"/>
          <w:sz w:val="28"/>
          <w:szCs w:val="28"/>
        </w:rPr>
        <w:t>经筋针刺治疗慢性疲劳综合征疗效确切，各年度总有效率普遍维持在96%以上，部分年份接近99%。随着治疗人数的逐年增加，该项疗法在多家医院均保持了稳定</w:t>
      </w:r>
      <w:proofErr w:type="gramStart"/>
      <w:r>
        <w:rPr>
          <w:rFonts w:ascii="仿宋_GB2312" w:eastAsia="仿宋_GB2312" w:hAnsi="仿宋_GB2312" w:cs="仿宋_GB2312" w:hint="eastAsia"/>
          <w:sz w:val="28"/>
          <w:szCs w:val="28"/>
        </w:rPr>
        <w:t>且较高</w:t>
      </w:r>
      <w:proofErr w:type="gramEnd"/>
      <w:r>
        <w:rPr>
          <w:rFonts w:ascii="仿宋_GB2312" w:eastAsia="仿宋_GB2312" w:hAnsi="仿宋_GB2312" w:cs="仿宋_GB2312" w:hint="eastAsia"/>
          <w:sz w:val="28"/>
          <w:szCs w:val="28"/>
        </w:rPr>
        <w:t>的疗效水平，显示出良好的可推广性和临床实用价值，适宜在各级医疗机构中推广应用。</w:t>
      </w:r>
    </w:p>
    <w:p w14:paraId="4D5F839A" w14:textId="77777777" w:rsidR="004C43A5" w:rsidRDefault="00000000">
      <w:pPr>
        <w:pStyle w:val="ab"/>
        <w:numPr>
          <w:ilvl w:val="0"/>
          <w:numId w:val="0"/>
        </w:numPr>
        <w:spacing w:beforeLines="0" w:afterLines="0" w:line="360" w:lineRule="auto"/>
        <w:ind w:firstLineChars="200" w:firstLine="643"/>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64488681"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本标准研制过程中无重大分歧意见。</w:t>
      </w:r>
    </w:p>
    <w:p w14:paraId="4D5D01B7" w14:textId="77777777" w:rsidR="004C43A5" w:rsidRDefault="00000000">
      <w:pPr>
        <w:autoSpaceDE w:val="0"/>
        <w:autoSpaceDN w:val="0"/>
        <w:adjustRightInd w:val="0"/>
        <w:spacing w:beforeLines="50" w:before="156" w:afterLines="50" w:after="156" w:line="520" w:lineRule="exact"/>
        <w:ind w:firstLineChars="200" w:firstLine="640"/>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14:paraId="0417B72E" w14:textId="77777777" w:rsidR="004C43A5" w:rsidRDefault="00000000">
      <w:pPr>
        <w:spacing w:line="50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lastRenderedPageBreak/>
        <w:t>（一）标准报批发布后，成立标准宣贯工作组</w:t>
      </w:r>
    </w:p>
    <w:p w14:paraId="1CDB1031" w14:textId="77777777" w:rsidR="004C43A5" w:rsidRDefault="00000000">
      <w:pPr>
        <w:spacing w:line="500" w:lineRule="exact"/>
        <w:ind w:firstLineChars="200" w:firstLine="560"/>
        <w:rPr>
          <w:rFonts w:ascii="仿宋_GB2312" w:eastAsia="仿宋_GB2312"/>
          <w:sz w:val="28"/>
          <w:szCs w:val="28"/>
        </w:rPr>
      </w:pPr>
      <w:r>
        <w:rPr>
          <w:rFonts w:ascii="仿宋_GB2312" w:eastAsia="仿宋_GB2312" w:hint="eastAsia"/>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B08EF49" w14:textId="77777777" w:rsidR="004C43A5" w:rsidRDefault="00000000">
      <w:pPr>
        <w:spacing w:line="500" w:lineRule="exact"/>
        <w:ind w:firstLineChars="200" w:firstLine="562"/>
        <w:rPr>
          <w:rFonts w:ascii="仿宋_GB2312" w:eastAsia="仿宋_GB2312"/>
          <w:b/>
          <w:sz w:val="28"/>
          <w:szCs w:val="28"/>
        </w:rPr>
      </w:pPr>
      <w:r>
        <w:rPr>
          <w:rFonts w:ascii="仿宋_GB2312" w:eastAsia="仿宋_GB2312" w:hint="eastAsia"/>
          <w:b/>
          <w:sz w:val="28"/>
          <w:szCs w:val="28"/>
        </w:rPr>
        <w:t>（二）组织开展标准宣贯培训</w:t>
      </w:r>
    </w:p>
    <w:p w14:paraId="40D081EF" w14:textId="77777777" w:rsidR="004C43A5" w:rsidRDefault="00000000">
      <w:pPr>
        <w:spacing w:line="500" w:lineRule="exact"/>
        <w:ind w:firstLineChars="200" w:firstLine="560"/>
        <w:rPr>
          <w:rFonts w:ascii="仿宋_GB2312" w:eastAsia="仿宋_GB2312"/>
          <w:sz w:val="28"/>
          <w:szCs w:val="28"/>
        </w:rPr>
      </w:pPr>
      <w:r>
        <w:rPr>
          <w:rFonts w:ascii="仿宋_GB2312" w:eastAsia="仿宋_GB2312" w:hint="eastAsia"/>
          <w:sz w:val="28"/>
          <w:szCs w:val="28"/>
        </w:rPr>
        <w:t>标准发布实施后，标准宣贯工作小组制作标准解读宣贯培训PPT课件和标准核心技术明白书，并按标准宣贯培训计划深入各医疗相关机构，对相关人员开展标准宣贯培训，对标准进行逐条解读，</w:t>
      </w:r>
      <w:proofErr w:type="gramStart"/>
      <w:r>
        <w:rPr>
          <w:rFonts w:ascii="仿宋_GB2312" w:eastAsia="仿宋_GB2312" w:hint="eastAsia"/>
          <w:sz w:val="28"/>
          <w:szCs w:val="28"/>
        </w:rPr>
        <w:t>让相关</w:t>
      </w:r>
      <w:proofErr w:type="gramEnd"/>
      <w:r>
        <w:rPr>
          <w:rFonts w:ascii="仿宋_GB2312" w:eastAsia="仿宋_GB2312" w:hint="eastAsia"/>
          <w:sz w:val="28"/>
          <w:szCs w:val="28"/>
        </w:rPr>
        <w:t>人员掌握标准核心技术内容，助力标准实施落地，推动壮</w:t>
      </w:r>
      <w:proofErr w:type="gramStart"/>
      <w:r>
        <w:rPr>
          <w:rFonts w:ascii="仿宋_GB2312" w:eastAsia="仿宋_GB2312" w:hint="eastAsia"/>
          <w:sz w:val="28"/>
          <w:szCs w:val="28"/>
        </w:rPr>
        <w:t>医</w:t>
      </w:r>
      <w:proofErr w:type="gramEnd"/>
      <w:r>
        <w:rPr>
          <w:rFonts w:ascii="仿宋_GB2312" w:eastAsia="仿宋_GB2312" w:hint="eastAsia"/>
          <w:sz w:val="28"/>
          <w:szCs w:val="28"/>
        </w:rPr>
        <w:t>经筋针刺治疗慢性疲劳综合征操作高质量发展。</w:t>
      </w:r>
    </w:p>
    <w:p w14:paraId="1A15936E" w14:textId="77777777" w:rsidR="004C43A5" w:rsidRDefault="00000000">
      <w:pPr>
        <w:spacing w:line="500" w:lineRule="exact"/>
        <w:ind w:firstLineChars="200" w:firstLine="562"/>
        <w:rPr>
          <w:rFonts w:ascii="仿宋_GB2312" w:eastAsia="仿宋_GB2312"/>
          <w:b/>
          <w:sz w:val="28"/>
          <w:szCs w:val="28"/>
        </w:rPr>
      </w:pPr>
      <w:r>
        <w:rPr>
          <w:rFonts w:ascii="仿宋_GB2312" w:eastAsia="仿宋_GB2312" w:hint="eastAsia"/>
          <w:b/>
          <w:sz w:val="28"/>
          <w:szCs w:val="28"/>
        </w:rPr>
        <w:t>（三）开展标准实施交流会，收集标准实施反馈信息</w:t>
      </w:r>
    </w:p>
    <w:p w14:paraId="48C5A220" w14:textId="77777777" w:rsidR="004C43A5" w:rsidRDefault="00000000">
      <w:pPr>
        <w:spacing w:line="500" w:lineRule="exact"/>
        <w:ind w:firstLineChars="200" w:firstLine="560"/>
        <w:rPr>
          <w:rFonts w:ascii="仿宋_GB2312" w:eastAsia="仿宋_GB2312"/>
          <w:sz w:val="28"/>
          <w:szCs w:val="28"/>
        </w:rPr>
      </w:pPr>
      <w:r>
        <w:rPr>
          <w:rFonts w:ascii="仿宋_GB2312" w:eastAsia="仿宋_GB2312" w:hint="eastAsia"/>
          <w:sz w:val="28"/>
          <w:szCs w:val="28"/>
        </w:rPr>
        <w:t>标准起草小组深入各医疗相关机构组织相关人员召开标准实施交流会，听取标准实施过程中存在的问题并做好记录和解答，对存在的问题组织专家团队进行研讨，为标准的复审</w:t>
      </w:r>
      <w:proofErr w:type="gramStart"/>
      <w:r>
        <w:rPr>
          <w:rFonts w:ascii="仿宋_GB2312" w:eastAsia="仿宋_GB2312" w:hint="eastAsia"/>
          <w:sz w:val="28"/>
          <w:szCs w:val="28"/>
        </w:rPr>
        <w:t>修订做</w:t>
      </w:r>
      <w:proofErr w:type="gramEnd"/>
      <w:r>
        <w:rPr>
          <w:rFonts w:ascii="仿宋_GB2312" w:eastAsia="仿宋_GB2312" w:hint="eastAsia"/>
          <w:sz w:val="28"/>
          <w:szCs w:val="28"/>
        </w:rPr>
        <w:t>准备。</w:t>
      </w:r>
    </w:p>
    <w:p w14:paraId="60E9842F" w14:textId="77777777" w:rsidR="004C43A5" w:rsidRDefault="00000000">
      <w:pPr>
        <w:spacing w:line="500" w:lineRule="exact"/>
        <w:ind w:firstLineChars="200" w:firstLine="562"/>
        <w:rPr>
          <w:rFonts w:ascii="仿宋_GB2312" w:eastAsia="仿宋_GB2312"/>
          <w:b/>
          <w:sz w:val="28"/>
          <w:szCs w:val="28"/>
        </w:rPr>
      </w:pPr>
      <w:r>
        <w:rPr>
          <w:rFonts w:ascii="仿宋_GB2312" w:eastAsia="仿宋_GB2312" w:hint="eastAsia"/>
          <w:b/>
          <w:sz w:val="28"/>
          <w:szCs w:val="28"/>
        </w:rPr>
        <w:t>（四）开展标准实施效果评估</w:t>
      </w:r>
    </w:p>
    <w:p w14:paraId="7980E1C0" w14:textId="77777777" w:rsidR="004C43A5" w:rsidRDefault="00000000">
      <w:pPr>
        <w:spacing w:line="500" w:lineRule="exact"/>
        <w:ind w:firstLineChars="200" w:firstLine="560"/>
        <w:rPr>
          <w:rFonts w:ascii="仿宋_GB2312" w:eastAsia="仿宋_GB2312"/>
          <w:sz w:val="28"/>
          <w:szCs w:val="28"/>
        </w:rPr>
      </w:pPr>
      <w:r>
        <w:rPr>
          <w:rFonts w:ascii="仿宋_GB2312" w:eastAsia="仿宋_GB2312" w:hint="eastAsia"/>
          <w:sz w:val="28"/>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eastAsia="仿宋_GB2312" w:hint="eastAsia"/>
          <w:sz w:val="28"/>
          <w:szCs w:val="28"/>
        </w:rPr>
        <w:t>修订做</w:t>
      </w:r>
      <w:proofErr w:type="gramEnd"/>
      <w:r>
        <w:rPr>
          <w:rFonts w:ascii="仿宋_GB2312" w:eastAsia="仿宋_GB2312" w:hint="eastAsia"/>
          <w:sz w:val="28"/>
          <w:szCs w:val="28"/>
        </w:rPr>
        <w:t>准备。</w:t>
      </w:r>
    </w:p>
    <w:p w14:paraId="60618B6B" w14:textId="77777777" w:rsidR="004C43A5" w:rsidRDefault="00000000">
      <w:pPr>
        <w:spacing w:before="240" w:after="60" w:line="520" w:lineRule="exact"/>
        <w:ind w:firstLineChars="200" w:firstLine="640"/>
        <w:outlineLvl w:val="0"/>
        <w:rPr>
          <w:rFonts w:ascii="黑体" w:eastAsia="黑体"/>
          <w:bCs/>
          <w:sz w:val="32"/>
          <w:szCs w:val="32"/>
        </w:rPr>
      </w:pPr>
      <w:r>
        <w:rPr>
          <w:rFonts w:ascii="黑体" w:eastAsia="黑体" w:hint="eastAsia"/>
          <w:bCs/>
          <w:sz w:val="32"/>
          <w:szCs w:val="32"/>
        </w:rPr>
        <w:t>八、其他应当说明的事项</w:t>
      </w:r>
    </w:p>
    <w:p w14:paraId="192E6DB4"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无。</w:t>
      </w:r>
    </w:p>
    <w:p w14:paraId="25334019" w14:textId="77777777" w:rsidR="004C43A5" w:rsidRDefault="00000000">
      <w:pPr>
        <w:autoSpaceDE w:val="0"/>
        <w:autoSpaceDN w:val="0"/>
        <w:adjustRightInd w:val="0"/>
        <w:spacing w:beforeLines="50" w:before="156" w:afterLines="50" w:after="156" w:line="520" w:lineRule="exact"/>
        <w:ind w:firstLine="640"/>
        <w:outlineLvl w:val="0"/>
        <w:rPr>
          <w:rFonts w:eastAsia="黑体"/>
          <w:sz w:val="32"/>
          <w:szCs w:val="32"/>
        </w:rPr>
      </w:pPr>
      <w:r>
        <w:rPr>
          <w:rFonts w:eastAsia="黑体" w:hint="eastAsia"/>
          <w:sz w:val="32"/>
          <w:szCs w:val="32"/>
        </w:rPr>
        <w:t>九、自我承诺</w:t>
      </w:r>
    </w:p>
    <w:p w14:paraId="3A2ED147" w14:textId="77777777" w:rsidR="004C43A5" w:rsidRDefault="00000000">
      <w:pPr>
        <w:spacing w:line="520" w:lineRule="exact"/>
        <w:ind w:firstLineChars="200" w:firstLine="560"/>
        <w:rPr>
          <w:rFonts w:ascii="仿宋_GB2312" w:eastAsia="仿宋_GB2312"/>
          <w:sz w:val="28"/>
          <w:szCs w:val="28"/>
        </w:rPr>
      </w:pPr>
      <w:r>
        <w:rPr>
          <w:rFonts w:ascii="仿宋_GB2312" w:eastAsia="仿宋_GB2312" w:hint="eastAsia"/>
          <w:sz w:val="28"/>
          <w:szCs w:val="28"/>
        </w:rPr>
        <w:t>该标准的内容符合国家相关法律法规，技术要求不低于强制性国家标准的相关技术要求，与相关的国家、行业推荐性标准协调一致，标准的编写符合GB/T 1.1-2020的要求。</w:t>
      </w:r>
    </w:p>
    <w:p w14:paraId="311F7499" w14:textId="77777777" w:rsidR="004C43A5" w:rsidRDefault="004C43A5">
      <w:pPr>
        <w:pStyle w:val="-1"/>
        <w:rPr>
          <w:rFonts w:ascii="仿宋_GB2312" w:eastAsia="仿宋_GB2312"/>
          <w:sz w:val="28"/>
          <w:szCs w:val="28"/>
        </w:rPr>
      </w:pPr>
    </w:p>
    <w:p w14:paraId="1EC8E953" w14:textId="77777777" w:rsidR="004C43A5" w:rsidRDefault="00000000">
      <w:pPr>
        <w:spacing w:before="240" w:after="60" w:line="520" w:lineRule="exact"/>
        <w:ind w:firstLineChars="400" w:firstLine="1120"/>
        <w:outlineLvl w:val="0"/>
        <w:rPr>
          <w:rFonts w:ascii="仿宋_GB2312" w:eastAsia="仿宋_GB2312"/>
          <w:sz w:val="28"/>
          <w:szCs w:val="28"/>
        </w:rPr>
      </w:pPr>
      <w:r>
        <w:rPr>
          <w:rFonts w:ascii="仿宋_GB2312" w:eastAsia="仿宋_GB2312" w:hint="eastAsia"/>
          <w:sz w:val="28"/>
          <w:szCs w:val="28"/>
        </w:rPr>
        <w:lastRenderedPageBreak/>
        <w:t>团体标准《壮医经筋针刺治疗慢性疲劳综合征操作规范》</w:t>
      </w:r>
    </w:p>
    <w:p w14:paraId="1CABE388" w14:textId="77777777" w:rsidR="004C43A5" w:rsidRDefault="00000000">
      <w:pPr>
        <w:spacing w:line="520" w:lineRule="exact"/>
        <w:ind w:right="1120"/>
        <w:jc w:val="center"/>
        <w:rPr>
          <w:rFonts w:ascii="仿宋_GB2312" w:eastAsia="仿宋_GB2312"/>
          <w:sz w:val="28"/>
          <w:szCs w:val="28"/>
        </w:rPr>
      </w:pPr>
      <w:r>
        <w:rPr>
          <w:rFonts w:ascii="仿宋_GB2312" w:eastAsia="仿宋_GB2312" w:hint="eastAsia"/>
          <w:sz w:val="28"/>
          <w:szCs w:val="28"/>
        </w:rPr>
        <w:t xml:space="preserve">                   标准编制工作组</w:t>
      </w:r>
    </w:p>
    <w:p w14:paraId="09448BBC" w14:textId="77777777" w:rsidR="004C43A5" w:rsidRDefault="00000000">
      <w:pPr>
        <w:spacing w:line="520" w:lineRule="exact"/>
        <w:ind w:firstLineChars="200" w:firstLine="640"/>
        <w:rPr>
          <w:rFonts w:ascii="仿宋_GB2312" w:eastAsia="仿宋_GB2312"/>
          <w:sz w:val="28"/>
          <w:szCs w:val="28"/>
        </w:rPr>
      </w:pPr>
      <w:r>
        <w:rPr>
          <w:rFonts w:ascii="仿宋_GB2312" w:eastAsia="仿宋_GB2312" w:hint="eastAsia"/>
          <w:sz w:val="32"/>
          <w:szCs w:val="28"/>
        </w:rPr>
        <w:t xml:space="preserve">                      </w:t>
      </w:r>
      <w:r>
        <w:rPr>
          <w:rFonts w:ascii="仿宋_GB2312" w:eastAsia="仿宋_GB2312" w:hint="eastAsia"/>
          <w:sz w:val="28"/>
          <w:szCs w:val="28"/>
        </w:rPr>
        <w:t>2026年3月19日</w:t>
      </w:r>
    </w:p>
    <w:sectPr w:rsidR="004C43A5">
      <w:footerReference w:type="default" r:id="rId16"/>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A415E7" w14:textId="77777777" w:rsidR="007345CF" w:rsidRDefault="007345CF">
      <w:r>
        <w:separator/>
      </w:r>
    </w:p>
  </w:endnote>
  <w:endnote w:type="continuationSeparator" w:id="0">
    <w:p w14:paraId="27403783" w14:textId="77777777" w:rsidR="007345CF" w:rsidRDefault="00734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embedRegular r:id="rId1" w:subsetted="1" w:fontKey="{00CFFFCF-5B36-47A6-BF39-9D343D63D6D4}"/>
    <w:embedBold r:id="rId2" w:subsetted="1" w:fontKey="{4322102D-81DD-4D54-827A-E8D62972034A}"/>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subsetted="1" w:fontKey="{8ED8361B-37B3-498E-8BF5-794E71563E09}"/>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4" w:subsetted="1" w:fontKey="{94F1A591-3CF8-4396-BEC8-B0C261FB9324}"/>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embedRegular r:id="rId5" w:subsetted="1" w:fontKey="{1701EDE7-A8DE-41C2-84B9-6F288D0AF679}"/>
    <w:embedBold r:id="rId6" w:subsetted="1" w:fontKey="{0EDF83B5-BF5B-4B32-A11B-30F7CC3C5DF7}"/>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AF60D" w14:textId="77777777" w:rsidR="004C43A5" w:rsidRDefault="00000000">
    <w:pPr>
      <w:pStyle w:val="af8"/>
      <w:ind w:firstLine="360"/>
    </w:pPr>
    <w:r>
      <w:rPr>
        <w:noProof/>
      </w:rPr>
      <mc:AlternateContent>
        <mc:Choice Requires="wps">
          <w:drawing>
            <wp:anchor distT="0" distB="0" distL="114300" distR="114300" simplePos="0" relativeHeight="251659264" behindDoc="0" locked="0" layoutInCell="1" allowOverlap="1" wp14:anchorId="6A55ECDB" wp14:editId="7D6C8238">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46CC976E" w14:textId="77777777" w:rsidR="004C43A5" w:rsidRDefault="00000000">
                          <w:pPr>
                            <w:pStyle w:val="af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type w14:anchorId="6A55ECDB" id="_x0000_t202" coordsize="21600,21600" o:spt="202" path="m,l,21600r21600,l21600,xe">
              <v:stroke joinstyle="miter"/>
              <v:path gradientshapeok="t" o:connecttype="rect"/>
            </v:shapetype>
            <v:shape id="文本框 1" o:spid="_x0000_s1026" type="#_x0000_t202" style="position:absolute;left:0;text-align:left;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" filled="f" stroked="f" strokeweight=".5pt">
              <v:textbox style="mso-fit-shape-to-text:t" inset="0,0,0,0">
                <w:txbxContent>
                  <w:p w14:paraId="46CC976E" w14:textId="77777777" w:rsidR="004C43A5" w:rsidRDefault="00000000">
                    <w:pPr>
                      <w:pStyle w:val="af8"/>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3196F" w14:textId="77777777" w:rsidR="007345CF" w:rsidRDefault="007345CF">
      <w:r>
        <w:separator/>
      </w:r>
    </w:p>
  </w:footnote>
  <w:footnote w:type="continuationSeparator" w:id="0">
    <w:p w14:paraId="07FE1BD6" w14:textId="77777777" w:rsidR="007345CF" w:rsidRDefault="007345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A333FDA2"/>
    <w:multiLevelType w:val="multilevel"/>
    <w:tmpl w:val="A333FDA2"/>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pStyle w:val="a0"/>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A76B26BB"/>
    <w:multiLevelType w:val="singleLevel"/>
    <w:tmpl w:val="A76B26BB"/>
    <w:lvl w:ilvl="0">
      <w:start w:val="2"/>
      <w:numFmt w:val="decimal"/>
      <w:suff w:val="space"/>
      <w:lvlText w:val="%1."/>
      <w:lvlJc w:val="left"/>
    </w:lvl>
  </w:abstractNum>
  <w:abstractNum w:abstractNumId="3" w15:restartNumberingAfterBreak="0">
    <w:nsid w:val="B16E2ACE"/>
    <w:multiLevelType w:val="multilevel"/>
    <w:tmpl w:val="B16E2ACE"/>
    <w:lvl w:ilvl="0">
      <w:start w:val="1"/>
      <w:numFmt w:val="upperLetter"/>
      <w:suff w:val="nothing"/>
      <w:lvlText w:val="附录%1"/>
      <w:lvlJc w:val="left"/>
      <w:pPr>
        <w:ind w:left="0" w:firstLine="0"/>
      </w:pPr>
      <w:rPr>
        <w:spacing w:val="100"/>
      </w:rPr>
    </w:lvl>
    <w:lvl w:ilvl="1">
      <w:start w:val="1"/>
      <w:numFmt w:val="decimal"/>
      <w:pStyle w:val="a1"/>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BA7B8511"/>
    <w:multiLevelType w:val="multilevel"/>
    <w:tmpl w:val="BA7B8511"/>
    <w:lvl w:ilvl="0">
      <w:start w:val="1"/>
      <w:numFmt w:val="decimal"/>
      <w:pStyle w:val="a2"/>
      <w:suff w:val="nothing"/>
      <w:lvlText w:val="注%1："/>
      <w:lvlJc w:val="left"/>
      <w:pPr>
        <w:ind w:left="811" w:hanging="448"/>
      </w:pPr>
      <w:rPr>
        <w:rFonts w:ascii="黑体" w:eastAsia="黑体" w:hAnsi="Times New Roman" w:cs="黑体" w:hint="eastAsia"/>
        <w:b w:val="0"/>
        <w:i w:val="0"/>
        <w:sz w:val="18"/>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5" w15:restartNumberingAfterBreak="0">
    <w:nsid w:val="F947AA72"/>
    <w:multiLevelType w:val="multilevel"/>
    <w:tmpl w:val="F947AA72"/>
    <w:lvl w:ilvl="0">
      <w:start w:val="1"/>
      <w:numFmt w:val="upperLetter"/>
      <w:suff w:val="space"/>
      <w:lvlText w:val="%1"/>
      <w:lvlJc w:val="left"/>
      <w:pPr>
        <w:ind w:left="425" w:hanging="425"/>
      </w:pPr>
    </w:lvl>
    <w:lvl w:ilvl="1">
      <w:start w:val="1"/>
      <w:numFmt w:val="decimal"/>
      <w:pStyle w:val="a3"/>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0FFFFF7E"/>
    <w:multiLevelType w:val="singleLevel"/>
    <w:tmpl w:val="0FFFFF7E"/>
    <w:lvl w:ilvl="0">
      <w:start w:val="1"/>
      <w:numFmt w:val="decimal"/>
      <w:pStyle w:val="a4"/>
      <w:lvlText w:val="%1."/>
      <w:lvlJc w:val="left"/>
      <w:pPr>
        <w:tabs>
          <w:tab w:val="left" w:pos="1200"/>
        </w:tabs>
        <w:ind w:left="1200" w:hanging="360"/>
      </w:pPr>
    </w:lvl>
  </w:abstractNum>
  <w:abstractNum w:abstractNumId="7" w15:restartNumberingAfterBreak="0">
    <w:nsid w:val="0FFFFF7F"/>
    <w:multiLevelType w:val="singleLevel"/>
    <w:tmpl w:val="0FFFFF7F"/>
    <w:lvl w:ilvl="0">
      <w:start w:val="1"/>
      <w:numFmt w:val="decimal"/>
      <w:pStyle w:val="a5"/>
      <w:lvlText w:val="%1."/>
      <w:lvlJc w:val="left"/>
      <w:pPr>
        <w:tabs>
          <w:tab w:val="left" w:pos="780"/>
        </w:tabs>
        <w:ind w:left="780" w:hanging="360"/>
      </w:pPr>
    </w:lvl>
  </w:abstractNum>
  <w:abstractNum w:abstractNumId="8" w15:restartNumberingAfterBreak="0">
    <w:nsid w:val="2C5917C3"/>
    <w:multiLevelType w:val="multilevel"/>
    <w:tmpl w:val="2C5917C3"/>
    <w:lvl w:ilvl="0">
      <w:start w:val="1"/>
      <w:numFmt w:val="none"/>
      <w:pStyle w:val="a6"/>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9" w15:restartNumberingAfterBreak="0">
    <w:nsid w:val="44C50F90"/>
    <w:multiLevelType w:val="multilevel"/>
    <w:tmpl w:val="44C50F90"/>
    <w:lvl w:ilvl="0">
      <w:start w:val="1"/>
      <w:numFmt w:val="lowerLetter"/>
      <w:pStyle w:val="a7"/>
      <w:lvlText w:val="%1)"/>
      <w:lvlJc w:val="left"/>
      <w:pPr>
        <w:tabs>
          <w:tab w:val="left" w:pos="851"/>
        </w:tabs>
        <w:ind w:left="851" w:hanging="426"/>
      </w:pPr>
      <w:rPr>
        <w:rFonts w:ascii="宋体" w:eastAsia="宋体" w:hAnsi="Times New Roman" w:hint="eastAsia"/>
        <w:sz w:val="21"/>
      </w:rPr>
    </w:lvl>
    <w:lvl w:ilvl="1">
      <w:start w:val="1"/>
      <w:numFmt w:val="decimal"/>
      <w:pStyle w:val="a8"/>
      <w:lvlText w:val="%2)"/>
      <w:lvlJc w:val="left"/>
      <w:pPr>
        <w:tabs>
          <w:tab w:val="left" w:pos="1276"/>
        </w:tabs>
        <w:ind w:left="1276" w:hanging="425"/>
      </w:pPr>
      <w:rPr>
        <w:rFonts w:ascii="宋体" w:eastAsia="宋体" w:hAnsi="Times New Roman" w:hint="eastAsia"/>
        <w:sz w:val="21"/>
      </w:rPr>
    </w:lvl>
    <w:lvl w:ilvl="2">
      <w:start w:val="1"/>
      <w:numFmt w:val="decimal"/>
      <w:pStyle w:val="a9"/>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0" w15:restartNumberingAfterBreak="0">
    <w:nsid w:val="5A9B6960"/>
    <w:multiLevelType w:val="multilevel"/>
    <w:tmpl w:val="5A9B6960"/>
    <w:lvl w:ilvl="0">
      <w:start w:val="1"/>
      <w:numFmt w:val="none"/>
      <w:pStyle w:val="aa"/>
      <w:suff w:val="nothing"/>
      <w:lvlText w:val="%1"/>
      <w:legacy w:legacy="1" w:legacySpace="0" w:legacyIndent="0"/>
      <w:lvlJc w:val="left"/>
      <w:pPr>
        <w:ind w:left="0" w:firstLine="0"/>
      </w:pPr>
      <w:rPr>
        <w:rFonts w:hint="eastAsia"/>
      </w:rPr>
    </w:lvl>
    <w:lvl w:ilvl="1">
      <w:start w:val="1"/>
      <w:numFmt w:val="decimal"/>
      <w:pStyle w:val="ab"/>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c"/>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d"/>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e"/>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f"/>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num w:numId="1" w16cid:durableId="1643847844">
    <w:abstractNumId w:val="10"/>
  </w:num>
  <w:num w:numId="2" w16cid:durableId="1361273860">
    <w:abstractNumId w:val="0"/>
  </w:num>
  <w:num w:numId="3" w16cid:durableId="1592663742">
    <w:abstractNumId w:val="7"/>
  </w:num>
  <w:num w:numId="4" w16cid:durableId="1136023626">
    <w:abstractNumId w:val="6"/>
  </w:num>
  <w:num w:numId="5" w16cid:durableId="255944090">
    <w:abstractNumId w:val="9"/>
  </w:num>
  <w:num w:numId="6" w16cid:durableId="1268393869">
    <w:abstractNumId w:val="8"/>
  </w:num>
  <w:num w:numId="7" w16cid:durableId="1407802737">
    <w:abstractNumId w:val="1"/>
  </w:num>
  <w:num w:numId="8" w16cid:durableId="51080345">
    <w:abstractNumId w:val="4"/>
  </w:num>
  <w:num w:numId="9" w16cid:durableId="434909607">
    <w:abstractNumId w:val="5"/>
  </w:num>
  <w:num w:numId="10" w16cid:durableId="378437504">
    <w:abstractNumId w:val="3"/>
  </w:num>
  <w:num w:numId="11" w16cid:durableId="8711929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U0OWNhMGUyYzc2MTI5ZWY2NzM4MTVkMDAwODg0Yz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15A62"/>
    <w:rsid w:val="00142D19"/>
    <w:rsid w:val="001655CC"/>
    <w:rsid w:val="0018012C"/>
    <w:rsid w:val="001821C9"/>
    <w:rsid w:val="001A7570"/>
    <w:rsid w:val="001C58D4"/>
    <w:rsid w:val="001D3156"/>
    <w:rsid w:val="001D4C84"/>
    <w:rsid w:val="001E2D73"/>
    <w:rsid w:val="001E6087"/>
    <w:rsid w:val="0020127F"/>
    <w:rsid w:val="00205352"/>
    <w:rsid w:val="002210B4"/>
    <w:rsid w:val="0022236C"/>
    <w:rsid w:val="002227B6"/>
    <w:rsid w:val="002324B6"/>
    <w:rsid w:val="00234F7D"/>
    <w:rsid w:val="00236909"/>
    <w:rsid w:val="00236EB4"/>
    <w:rsid w:val="00241F8A"/>
    <w:rsid w:val="0026503D"/>
    <w:rsid w:val="00281F39"/>
    <w:rsid w:val="0028500C"/>
    <w:rsid w:val="002879F6"/>
    <w:rsid w:val="002905CF"/>
    <w:rsid w:val="00292F73"/>
    <w:rsid w:val="0029554A"/>
    <w:rsid w:val="002A3479"/>
    <w:rsid w:val="002B7C92"/>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D06F2"/>
    <w:rsid w:val="003D485E"/>
    <w:rsid w:val="00426DC5"/>
    <w:rsid w:val="004373E9"/>
    <w:rsid w:val="0044036C"/>
    <w:rsid w:val="0044065E"/>
    <w:rsid w:val="004805DB"/>
    <w:rsid w:val="0048511D"/>
    <w:rsid w:val="004A75FF"/>
    <w:rsid w:val="004B4D68"/>
    <w:rsid w:val="004C43A5"/>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B0BA0"/>
    <w:rsid w:val="006B12C0"/>
    <w:rsid w:val="006F2543"/>
    <w:rsid w:val="00714DDE"/>
    <w:rsid w:val="00727452"/>
    <w:rsid w:val="007345CF"/>
    <w:rsid w:val="0074491A"/>
    <w:rsid w:val="007557E4"/>
    <w:rsid w:val="00756356"/>
    <w:rsid w:val="007643FB"/>
    <w:rsid w:val="00774434"/>
    <w:rsid w:val="007756AB"/>
    <w:rsid w:val="00781D6C"/>
    <w:rsid w:val="00784DBC"/>
    <w:rsid w:val="007A149B"/>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E1EB5"/>
    <w:rsid w:val="00926E1B"/>
    <w:rsid w:val="00932BA3"/>
    <w:rsid w:val="00947EBA"/>
    <w:rsid w:val="009718CC"/>
    <w:rsid w:val="009A4141"/>
    <w:rsid w:val="009B7918"/>
    <w:rsid w:val="009E3161"/>
    <w:rsid w:val="00A06B7F"/>
    <w:rsid w:val="00A16A3E"/>
    <w:rsid w:val="00A263D3"/>
    <w:rsid w:val="00A365A2"/>
    <w:rsid w:val="00A368A3"/>
    <w:rsid w:val="00A37FDF"/>
    <w:rsid w:val="00A42C5E"/>
    <w:rsid w:val="00A47FB7"/>
    <w:rsid w:val="00A75476"/>
    <w:rsid w:val="00A851D3"/>
    <w:rsid w:val="00A87F41"/>
    <w:rsid w:val="00A95A00"/>
    <w:rsid w:val="00AB5B3D"/>
    <w:rsid w:val="00AC57C3"/>
    <w:rsid w:val="00AD0172"/>
    <w:rsid w:val="00AE408C"/>
    <w:rsid w:val="00B0429D"/>
    <w:rsid w:val="00B051B4"/>
    <w:rsid w:val="00B07A8A"/>
    <w:rsid w:val="00B3173E"/>
    <w:rsid w:val="00B655EA"/>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E332B"/>
    <w:rsid w:val="00EF4610"/>
    <w:rsid w:val="00EF6CB2"/>
    <w:rsid w:val="00F01A5C"/>
    <w:rsid w:val="00F10D46"/>
    <w:rsid w:val="00F1246B"/>
    <w:rsid w:val="00F40513"/>
    <w:rsid w:val="00F424A9"/>
    <w:rsid w:val="00F5729F"/>
    <w:rsid w:val="00F65587"/>
    <w:rsid w:val="00F77E06"/>
    <w:rsid w:val="00F843C0"/>
    <w:rsid w:val="00F9021F"/>
    <w:rsid w:val="00FA7D60"/>
    <w:rsid w:val="00FB260A"/>
    <w:rsid w:val="00FC7CE6"/>
    <w:rsid w:val="00FD5DA3"/>
    <w:rsid w:val="00FD6497"/>
    <w:rsid w:val="00FF2EC3"/>
    <w:rsid w:val="00FF56B9"/>
    <w:rsid w:val="012A4E2C"/>
    <w:rsid w:val="013B5F16"/>
    <w:rsid w:val="023615AF"/>
    <w:rsid w:val="025E2D19"/>
    <w:rsid w:val="02614FC7"/>
    <w:rsid w:val="02DC2156"/>
    <w:rsid w:val="02E82811"/>
    <w:rsid w:val="030A6CC4"/>
    <w:rsid w:val="03614FBD"/>
    <w:rsid w:val="036C0D75"/>
    <w:rsid w:val="036E42DF"/>
    <w:rsid w:val="039B3DC0"/>
    <w:rsid w:val="03CC3F79"/>
    <w:rsid w:val="03FB03BA"/>
    <w:rsid w:val="04790F9B"/>
    <w:rsid w:val="04DA4474"/>
    <w:rsid w:val="04EC1DF7"/>
    <w:rsid w:val="057B7A05"/>
    <w:rsid w:val="05CD222A"/>
    <w:rsid w:val="05FD2B10"/>
    <w:rsid w:val="06084616"/>
    <w:rsid w:val="0619721E"/>
    <w:rsid w:val="06456265"/>
    <w:rsid w:val="06A74CDB"/>
    <w:rsid w:val="06A9292B"/>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4845D6"/>
    <w:rsid w:val="0C770416"/>
    <w:rsid w:val="0CCA0D59"/>
    <w:rsid w:val="0DB22432"/>
    <w:rsid w:val="0E1B0D4A"/>
    <w:rsid w:val="0EE41D10"/>
    <w:rsid w:val="0F29068B"/>
    <w:rsid w:val="10395851"/>
    <w:rsid w:val="10A125AF"/>
    <w:rsid w:val="10B547F0"/>
    <w:rsid w:val="10BF65F0"/>
    <w:rsid w:val="11186A50"/>
    <w:rsid w:val="11386E78"/>
    <w:rsid w:val="11B73ED3"/>
    <w:rsid w:val="121E62E8"/>
    <w:rsid w:val="12241424"/>
    <w:rsid w:val="12277661"/>
    <w:rsid w:val="12511EBC"/>
    <w:rsid w:val="12B66520"/>
    <w:rsid w:val="12D30089"/>
    <w:rsid w:val="12F36381"/>
    <w:rsid w:val="133D4C82"/>
    <w:rsid w:val="13C20390"/>
    <w:rsid w:val="13D12EE6"/>
    <w:rsid w:val="13EE1CEA"/>
    <w:rsid w:val="13F37300"/>
    <w:rsid w:val="13FA2960"/>
    <w:rsid w:val="14700951"/>
    <w:rsid w:val="148154C9"/>
    <w:rsid w:val="151244E3"/>
    <w:rsid w:val="156F60AE"/>
    <w:rsid w:val="15DF0A75"/>
    <w:rsid w:val="16875DAB"/>
    <w:rsid w:val="169F0A74"/>
    <w:rsid w:val="16A11295"/>
    <w:rsid w:val="174D6D27"/>
    <w:rsid w:val="175400B6"/>
    <w:rsid w:val="17C675A6"/>
    <w:rsid w:val="17D631C0"/>
    <w:rsid w:val="18CE5C46"/>
    <w:rsid w:val="196F7429"/>
    <w:rsid w:val="19C77265"/>
    <w:rsid w:val="1A2024D1"/>
    <w:rsid w:val="1A2A2D28"/>
    <w:rsid w:val="1A514D80"/>
    <w:rsid w:val="1ABC0F82"/>
    <w:rsid w:val="1B9C64CF"/>
    <w:rsid w:val="1C0F4EF3"/>
    <w:rsid w:val="1C5E2638"/>
    <w:rsid w:val="1CAD7BD6"/>
    <w:rsid w:val="1CDC3027"/>
    <w:rsid w:val="1D2C4A21"/>
    <w:rsid w:val="1D4806BC"/>
    <w:rsid w:val="1E023D84"/>
    <w:rsid w:val="1E6C7E3E"/>
    <w:rsid w:val="1E8C6387"/>
    <w:rsid w:val="1EEE7042"/>
    <w:rsid w:val="1EF0375A"/>
    <w:rsid w:val="1F436741"/>
    <w:rsid w:val="1FFA549F"/>
    <w:rsid w:val="20346CD6"/>
    <w:rsid w:val="206E043A"/>
    <w:rsid w:val="20B63B8F"/>
    <w:rsid w:val="20FB3F44"/>
    <w:rsid w:val="211200FF"/>
    <w:rsid w:val="213E3BC7"/>
    <w:rsid w:val="21B75E11"/>
    <w:rsid w:val="22D62711"/>
    <w:rsid w:val="23046E34"/>
    <w:rsid w:val="23675615"/>
    <w:rsid w:val="23E80503"/>
    <w:rsid w:val="24376F6E"/>
    <w:rsid w:val="2443573A"/>
    <w:rsid w:val="24B42104"/>
    <w:rsid w:val="24F86524"/>
    <w:rsid w:val="25496D80"/>
    <w:rsid w:val="25670B39"/>
    <w:rsid w:val="25CD79B1"/>
    <w:rsid w:val="25DC3EE8"/>
    <w:rsid w:val="25E42F4C"/>
    <w:rsid w:val="27095D8A"/>
    <w:rsid w:val="27532138"/>
    <w:rsid w:val="27604855"/>
    <w:rsid w:val="277B51EB"/>
    <w:rsid w:val="279E6744"/>
    <w:rsid w:val="2829733C"/>
    <w:rsid w:val="28CC0709"/>
    <w:rsid w:val="29C22B06"/>
    <w:rsid w:val="2AB6770F"/>
    <w:rsid w:val="2AFC1105"/>
    <w:rsid w:val="2BAD2B02"/>
    <w:rsid w:val="2BDA1E37"/>
    <w:rsid w:val="2D4B05DB"/>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1F06DE7"/>
    <w:rsid w:val="327A0EC0"/>
    <w:rsid w:val="33685BF1"/>
    <w:rsid w:val="339F33DF"/>
    <w:rsid w:val="34B76D87"/>
    <w:rsid w:val="34C65624"/>
    <w:rsid w:val="34D01D12"/>
    <w:rsid w:val="34D90AD3"/>
    <w:rsid w:val="350B5B62"/>
    <w:rsid w:val="3573099D"/>
    <w:rsid w:val="35C44201"/>
    <w:rsid w:val="366B28CE"/>
    <w:rsid w:val="380F4839"/>
    <w:rsid w:val="38206066"/>
    <w:rsid w:val="38913D17"/>
    <w:rsid w:val="38955FDF"/>
    <w:rsid w:val="393E01A9"/>
    <w:rsid w:val="396B1F46"/>
    <w:rsid w:val="39DC7D6B"/>
    <w:rsid w:val="3AD4054D"/>
    <w:rsid w:val="3B651FE2"/>
    <w:rsid w:val="3B714E2B"/>
    <w:rsid w:val="3D5134B7"/>
    <w:rsid w:val="3D6C58AA"/>
    <w:rsid w:val="3D6D1ED3"/>
    <w:rsid w:val="3D8C5F4C"/>
    <w:rsid w:val="3E65515C"/>
    <w:rsid w:val="3E94330A"/>
    <w:rsid w:val="3F2E1041"/>
    <w:rsid w:val="401F30A7"/>
    <w:rsid w:val="403F2E01"/>
    <w:rsid w:val="41480210"/>
    <w:rsid w:val="42B43A05"/>
    <w:rsid w:val="42CD0EA8"/>
    <w:rsid w:val="431A1904"/>
    <w:rsid w:val="43947908"/>
    <w:rsid w:val="44CB4DED"/>
    <w:rsid w:val="44F56185"/>
    <w:rsid w:val="4520080C"/>
    <w:rsid w:val="45413951"/>
    <w:rsid w:val="45B30A7B"/>
    <w:rsid w:val="45D90566"/>
    <w:rsid w:val="467B530C"/>
    <w:rsid w:val="46E47FFF"/>
    <w:rsid w:val="4779601E"/>
    <w:rsid w:val="481B0E08"/>
    <w:rsid w:val="482D3E87"/>
    <w:rsid w:val="48353A66"/>
    <w:rsid w:val="489160CA"/>
    <w:rsid w:val="48E01E61"/>
    <w:rsid w:val="49327CD0"/>
    <w:rsid w:val="493E1AE1"/>
    <w:rsid w:val="4A9B6FA0"/>
    <w:rsid w:val="4AF51556"/>
    <w:rsid w:val="4B035C36"/>
    <w:rsid w:val="4B2238EC"/>
    <w:rsid w:val="4B44550B"/>
    <w:rsid w:val="4C7D362F"/>
    <w:rsid w:val="4CAC0AD9"/>
    <w:rsid w:val="4CD55219"/>
    <w:rsid w:val="4DDD59C1"/>
    <w:rsid w:val="4E32294F"/>
    <w:rsid w:val="4E395334"/>
    <w:rsid w:val="4E593C28"/>
    <w:rsid w:val="4EFD2805"/>
    <w:rsid w:val="4F2558B8"/>
    <w:rsid w:val="4FAD1FC6"/>
    <w:rsid w:val="4FC74BC1"/>
    <w:rsid w:val="501324CE"/>
    <w:rsid w:val="501778F7"/>
    <w:rsid w:val="50520AB9"/>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016D25"/>
    <w:rsid w:val="58286739"/>
    <w:rsid w:val="583A6878"/>
    <w:rsid w:val="58733B38"/>
    <w:rsid w:val="588E44CE"/>
    <w:rsid w:val="58D367F3"/>
    <w:rsid w:val="592C1295"/>
    <w:rsid w:val="595B4CF8"/>
    <w:rsid w:val="5992568E"/>
    <w:rsid w:val="59DD74BB"/>
    <w:rsid w:val="59E266CB"/>
    <w:rsid w:val="59EF3692"/>
    <w:rsid w:val="5A121AEF"/>
    <w:rsid w:val="5A420BA5"/>
    <w:rsid w:val="5A8C449C"/>
    <w:rsid w:val="5B571FFB"/>
    <w:rsid w:val="5B6B556E"/>
    <w:rsid w:val="5BFB00CD"/>
    <w:rsid w:val="5C452F47"/>
    <w:rsid w:val="5C537F09"/>
    <w:rsid w:val="5C582B15"/>
    <w:rsid w:val="5C867919"/>
    <w:rsid w:val="5D086F45"/>
    <w:rsid w:val="5D243653"/>
    <w:rsid w:val="5D4D6706"/>
    <w:rsid w:val="5D9B49EA"/>
    <w:rsid w:val="5DF4639A"/>
    <w:rsid w:val="5DF76C0B"/>
    <w:rsid w:val="5E0E07F8"/>
    <w:rsid w:val="5E166162"/>
    <w:rsid w:val="5E42134A"/>
    <w:rsid w:val="5ED15115"/>
    <w:rsid w:val="5EFD5F0A"/>
    <w:rsid w:val="5FD702EA"/>
    <w:rsid w:val="5FEF619A"/>
    <w:rsid w:val="601A7C70"/>
    <w:rsid w:val="60252B89"/>
    <w:rsid w:val="604F4E8B"/>
    <w:rsid w:val="60745363"/>
    <w:rsid w:val="60B11334"/>
    <w:rsid w:val="61524586"/>
    <w:rsid w:val="616C2448"/>
    <w:rsid w:val="61882403"/>
    <w:rsid w:val="620316C6"/>
    <w:rsid w:val="626C326C"/>
    <w:rsid w:val="628C5F22"/>
    <w:rsid w:val="62C44CEE"/>
    <w:rsid w:val="630E06E5"/>
    <w:rsid w:val="634A0790"/>
    <w:rsid w:val="63DF2082"/>
    <w:rsid w:val="64E33DF4"/>
    <w:rsid w:val="652F2B95"/>
    <w:rsid w:val="654A16B4"/>
    <w:rsid w:val="654C7BEB"/>
    <w:rsid w:val="65DF5D81"/>
    <w:rsid w:val="65E76184"/>
    <w:rsid w:val="65FA2E2F"/>
    <w:rsid w:val="660F1D12"/>
    <w:rsid w:val="66375416"/>
    <w:rsid w:val="664803B2"/>
    <w:rsid w:val="66770C98"/>
    <w:rsid w:val="66EF6B43"/>
    <w:rsid w:val="67277FC8"/>
    <w:rsid w:val="677C2407"/>
    <w:rsid w:val="6804655B"/>
    <w:rsid w:val="68552A56"/>
    <w:rsid w:val="68C47A98"/>
    <w:rsid w:val="68C53F3C"/>
    <w:rsid w:val="6A8A21D9"/>
    <w:rsid w:val="6B170353"/>
    <w:rsid w:val="6B805A13"/>
    <w:rsid w:val="6B913722"/>
    <w:rsid w:val="6BFB1CFC"/>
    <w:rsid w:val="6CC80E6D"/>
    <w:rsid w:val="6CEE57FE"/>
    <w:rsid w:val="6D6A740A"/>
    <w:rsid w:val="6DDA15E5"/>
    <w:rsid w:val="6E0252EB"/>
    <w:rsid w:val="6E315BD0"/>
    <w:rsid w:val="6E9331FA"/>
    <w:rsid w:val="6F393D6E"/>
    <w:rsid w:val="6F8B1586"/>
    <w:rsid w:val="6F986B5B"/>
    <w:rsid w:val="70015658"/>
    <w:rsid w:val="7061760A"/>
    <w:rsid w:val="70B2124A"/>
    <w:rsid w:val="70EC47D4"/>
    <w:rsid w:val="70F47B1E"/>
    <w:rsid w:val="710B6BAC"/>
    <w:rsid w:val="712B2DAA"/>
    <w:rsid w:val="71CC633B"/>
    <w:rsid w:val="71F238C8"/>
    <w:rsid w:val="72534367"/>
    <w:rsid w:val="72D70869"/>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3F5645"/>
    <w:rsid w:val="79477DB9"/>
    <w:rsid w:val="798B5FEA"/>
    <w:rsid w:val="7A035425"/>
    <w:rsid w:val="7A5154DA"/>
    <w:rsid w:val="7A937FAF"/>
    <w:rsid w:val="7AB465B7"/>
    <w:rsid w:val="7ACC115A"/>
    <w:rsid w:val="7AF81F4F"/>
    <w:rsid w:val="7AFA7F37"/>
    <w:rsid w:val="7B0D59BF"/>
    <w:rsid w:val="7B215011"/>
    <w:rsid w:val="7B5C267D"/>
    <w:rsid w:val="7B6C6499"/>
    <w:rsid w:val="7B7B492E"/>
    <w:rsid w:val="7B913955"/>
    <w:rsid w:val="7BEC3554"/>
    <w:rsid w:val="7C9E3D4A"/>
    <w:rsid w:val="7CB63E70"/>
    <w:rsid w:val="7D221505"/>
    <w:rsid w:val="7D334C5C"/>
    <w:rsid w:val="7D902913"/>
    <w:rsid w:val="7DE81904"/>
    <w:rsid w:val="7E2B6198"/>
    <w:rsid w:val="7E5135DF"/>
    <w:rsid w:val="7F2A12E9"/>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02FC26F2"/>
  <w15:docId w15:val="{B2A05EA1-B2B2-41AF-ACC0-0E50E224E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0">
    <w:name w:val="Normal"/>
    <w:autoRedefine/>
    <w:qFormat/>
    <w:pPr>
      <w:widowControl w:val="0"/>
      <w:jc w:val="both"/>
    </w:pPr>
    <w:rPr>
      <w:rFonts w:ascii="Calibri" w:hAnsi="Calibri" w:cs="Calibri"/>
      <w:kern w:val="2"/>
      <w:sz w:val="21"/>
      <w:szCs w:val="24"/>
    </w:rPr>
  </w:style>
  <w:style w:type="paragraph" w:styleId="1">
    <w:name w:val="heading 1"/>
    <w:basedOn w:val="af0"/>
    <w:next w:val="af0"/>
    <w:autoRedefine/>
    <w:qFormat/>
    <w:pPr>
      <w:keepNext/>
      <w:keepLines/>
      <w:spacing w:before="340" w:after="330" w:line="578" w:lineRule="auto"/>
      <w:outlineLvl w:val="0"/>
    </w:pPr>
    <w:rPr>
      <w:b/>
      <w:bCs/>
      <w:kern w:val="44"/>
      <w:sz w:val="44"/>
    </w:rPr>
  </w:style>
  <w:style w:type="paragraph" w:styleId="2">
    <w:name w:val="heading 2"/>
    <w:basedOn w:val="af0"/>
    <w:next w:val="af0"/>
    <w:autoRedefine/>
    <w:qFormat/>
    <w:pPr>
      <w:keepNext/>
      <w:keepLines/>
      <w:spacing w:before="260" w:after="260" w:line="415" w:lineRule="auto"/>
      <w:outlineLvl w:val="1"/>
    </w:pPr>
    <w:rPr>
      <w:rFonts w:ascii="Times New Roman" w:eastAsia="黑体" w:hAnsi="Times New Roman"/>
      <w:b/>
      <w:sz w:val="32"/>
    </w:rPr>
  </w:style>
  <w:style w:type="paragraph" w:styleId="3">
    <w:name w:val="heading 3"/>
    <w:basedOn w:val="af0"/>
    <w:next w:val="af0"/>
    <w:autoRedefine/>
    <w:qFormat/>
    <w:pPr>
      <w:keepNext/>
      <w:keepLines/>
      <w:spacing w:before="260" w:after="260" w:line="415" w:lineRule="auto"/>
      <w:outlineLvl w:val="2"/>
    </w:pPr>
    <w:rPr>
      <w:b/>
      <w:sz w:val="32"/>
    </w:rPr>
  </w:style>
  <w:style w:type="paragraph" w:styleId="4">
    <w:name w:val="heading 4"/>
    <w:basedOn w:val="af0"/>
    <w:next w:val="af0"/>
    <w:uiPriority w:val="9"/>
    <w:semiHidden/>
    <w:unhideWhenUsed/>
    <w:qFormat/>
    <w:pPr>
      <w:spacing w:beforeAutospacing="1" w:afterAutospacing="1"/>
      <w:jc w:val="left"/>
      <w:outlineLvl w:val="3"/>
    </w:pPr>
    <w:rPr>
      <w:rFonts w:ascii="宋体" w:hAnsi="宋体" w:cs="Times New Roman" w:hint="eastAsia"/>
      <w:b/>
      <w:bCs/>
      <w:kern w:val="0"/>
      <w:sz w:val="24"/>
    </w:rPr>
  </w:style>
  <w:style w:type="paragraph" w:styleId="7">
    <w:name w:val="heading 7"/>
    <w:basedOn w:val="af0"/>
    <w:next w:val="af0"/>
    <w:link w:val="70"/>
    <w:autoRedefine/>
    <w:uiPriority w:val="9"/>
    <w:qFormat/>
    <w:pPr>
      <w:keepNext/>
      <w:keepLines/>
      <w:spacing w:before="240" w:after="64" w:line="320" w:lineRule="auto"/>
      <w:outlineLvl w:val="6"/>
    </w:pPr>
    <w:rPr>
      <w:b/>
      <w:bCs/>
      <w:sz w:val="24"/>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annotation text"/>
    <w:basedOn w:val="af0"/>
    <w:link w:val="af5"/>
    <w:autoRedefine/>
    <w:uiPriority w:val="99"/>
    <w:unhideWhenUsed/>
    <w:qFormat/>
    <w:pPr>
      <w:adjustRightInd w:val="0"/>
      <w:spacing w:line="400" w:lineRule="exact"/>
      <w:jc w:val="left"/>
    </w:pPr>
    <w:rPr>
      <w:szCs w:val="21"/>
    </w:rPr>
  </w:style>
  <w:style w:type="paragraph" w:styleId="af6">
    <w:name w:val="Balloon Text"/>
    <w:basedOn w:val="af0"/>
    <w:link w:val="af7"/>
    <w:autoRedefine/>
    <w:uiPriority w:val="99"/>
    <w:unhideWhenUsed/>
    <w:qFormat/>
    <w:rPr>
      <w:sz w:val="18"/>
      <w:szCs w:val="18"/>
    </w:rPr>
  </w:style>
  <w:style w:type="paragraph" w:styleId="af8">
    <w:name w:val="footer"/>
    <w:basedOn w:val="af0"/>
    <w:link w:val="af9"/>
    <w:autoRedefine/>
    <w:uiPriority w:val="99"/>
    <w:qFormat/>
    <w:pPr>
      <w:tabs>
        <w:tab w:val="center" w:pos="4153"/>
        <w:tab w:val="right" w:pos="8306"/>
      </w:tabs>
      <w:snapToGrid w:val="0"/>
      <w:jc w:val="left"/>
    </w:pPr>
    <w:rPr>
      <w:sz w:val="18"/>
      <w:szCs w:val="18"/>
    </w:rPr>
  </w:style>
  <w:style w:type="paragraph" w:styleId="afa">
    <w:name w:val="envelope return"/>
    <w:basedOn w:val="af0"/>
    <w:autoRedefine/>
    <w:qFormat/>
    <w:pPr>
      <w:snapToGrid w:val="0"/>
    </w:pPr>
    <w:rPr>
      <w:rFonts w:ascii="Times New Roman" w:hAnsi="Times New Roman"/>
    </w:rPr>
  </w:style>
  <w:style w:type="paragraph" w:styleId="afb">
    <w:name w:val="header"/>
    <w:basedOn w:val="af0"/>
    <w:autoRedefine/>
    <w:qFormat/>
    <w:pPr>
      <w:pBdr>
        <w:bottom w:val="single" w:sz="6" w:space="1" w:color="auto"/>
      </w:pBdr>
      <w:tabs>
        <w:tab w:val="center" w:pos="4153"/>
        <w:tab w:val="right" w:pos="8306"/>
      </w:tabs>
      <w:snapToGrid w:val="0"/>
      <w:jc w:val="center"/>
    </w:pPr>
    <w:rPr>
      <w:sz w:val="18"/>
      <w:szCs w:val="18"/>
    </w:rPr>
  </w:style>
  <w:style w:type="paragraph" w:styleId="TOC4">
    <w:name w:val="toc 4"/>
    <w:basedOn w:val="af0"/>
    <w:next w:val="af0"/>
    <w:autoRedefine/>
    <w:uiPriority w:val="39"/>
    <w:unhideWhenUsed/>
    <w:qFormat/>
    <w:pPr>
      <w:tabs>
        <w:tab w:val="right" w:leader="dot" w:pos="9344"/>
      </w:tabs>
      <w:adjustRightInd w:val="0"/>
      <w:spacing w:line="300" w:lineRule="exact"/>
      <w:ind w:left="629"/>
    </w:pPr>
    <w:rPr>
      <w:rFonts w:ascii="宋体"/>
      <w:szCs w:val="21"/>
    </w:rPr>
  </w:style>
  <w:style w:type="paragraph" w:styleId="HTML">
    <w:name w:val="HTML Preformatted"/>
    <w:basedOn w:val="af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Times New Roman" w:hint="eastAsia"/>
      <w:kern w:val="0"/>
      <w:sz w:val="24"/>
    </w:rPr>
  </w:style>
  <w:style w:type="paragraph" w:styleId="afc">
    <w:name w:val="Normal (Web)"/>
    <w:basedOn w:val="af0"/>
    <w:autoRedefine/>
    <w:uiPriority w:val="99"/>
    <w:semiHidden/>
    <w:unhideWhenUsed/>
    <w:qFormat/>
    <w:rPr>
      <w:sz w:val="24"/>
    </w:rPr>
  </w:style>
  <w:style w:type="paragraph" w:styleId="afd">
    <w:name w:val="Title"/>
    <w:basedOn w:val="af0"/>
    <w:link w:val="afe"/>
    <w:uiPriority w:val="10"/>
    <w:qFormat/>
    <w:pPr>
      <w:spacing w:before="240" w:after="60"/>
      <w:jc w:val="center"/>
      <w:outlineLvl w:val="0"/>
    </w:pPr>
    <w:rPr>
      <w:rFonts w:ascii="Arial" w:hAnsi="Arial"/>
      <w:b/>
      <w:sz w:val="32"/>
    </w:rPr>
  </w:style>
  <w:style w:type="table" w:styleId="aff">
    <w:name w:val="Table Grid"/>
    <w:basedOn w:val="af2"/>
    <w:autoRedefine/>
    <w:uiPriority w:val="39"/>
    <w:qFormat/>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f0">
    <w:name w:val="Strong"/>
    <w:basedOn w:val="af1"/>
    <w:autoRedefine/>
    <w:uiPriority w:val="22"/>
    <w:qFormat/>
    <w:rPr>
      <w:b/>
    </w:rPr>
  </w:style>
  <w:style w:type="character" w:styleId="aff1">
    <w:name w:val="Emphasis"/>
    <w:basedOn w:val="af1"/>
    <w:uiPriority w:val="20"/>
    <w:qFormat/>
    <w:rPr>
      <w:i/>
    </w:rPr>
  </w:style>
  <w:style w:type="character" w:styleId="aff2">
    <w:name w:val="line number"/>
    <w:autoRedefine/>
    <w:qFormat/>
  </w:style>
  <w:style w:type="character" w:styleId="aff3">
    <w:name w:val="Hyperlink"/>
    <w:autoRedefine/>
    <w:qFormat/>
    <w:rPr>
      <w:rFonts w:ascii="宋体" w:eastAsia="宋体"/>
      <w:color w:val="auto"/>
      <w:spacing w:val="0"/>
      <w:w w:val="100"/>
      <w:position w:val="0"/>
      <w:sz w:val="21"/>
      <w:u w:val="none"/>
      <w:vertAlign w:val="baseline"/>
    </w:rPr>
  </w:style>
  <w:style w:type="character" w:styleId="aff4">
    <w:name w:val="annotation reference"/>
    <w:basedOn w:val="af1"/>
    <w:autoRedefine/>
    <w:uiPriority w:val="99"/>
    <w:qFormat/>
    <w:rPr>
      <w:sz w:val="21"/>
      <w:szCs w:val="21"/>
    </w:rPr>
  </w:style>
  <w:style w:type="character" w:styleId="aff5">
    <w:name w:val="footnote reference"/>
    <w:autoRedefine/>
    <w:qFormat/>
    <w:rPr>
      <w:vertAlign w:val="superscript"/>
    </w:rPr>
  </w:style>
  <w:style w:type="paragraph" w:customStyle="1" w:styleId="BodyText2">
    <w:name w:val="BodyText2"/>
    <w:basedOn w:val="af0"/>
    <w:autoRedefine/>
    <w:qFormat/>
    <w:pPr>
      <w:spacing w:after="120" w:line="480" w:lineRule="auto"/>
      <w:textAlignment w:val="baseline"/>
    </w:pPr>
    <w:rPr>
      <w:rFonts w:cs="Times New Roman"/>
      <w:sz w:val="32"/>
      <w:szCs w:val="32"/>
    </w:rPr>
  </w:style>
  <w:style w:type="paragraph" w:customStyle="1" w:styleId="-1">
    <w:name w:val="正文-公1"/>
    <w:autoRedefine/>
    <w:uiPriority w:val="99"/>
    <w:qFormat/>
    <w:pPr>
      <w:widowControl w:val="0"/>
      <w:suppressAutoHyphens/>
      <w:jc w:val="both"/>
    </w:pPr>
    <w:rPr>
      <w:rFonts w:ascii="Calibri" w:hAnsi="Calibri"/>
      <w:kern w:val="2"/>
      <w:sz w:val="21"/>
      <w:szCs w:val="24"/>
    </w:rPr>
  </w:style>
  <w:style w:type="character" w:customStyle="1" w:styleId="70">
    <w:name w:val="标题 7 字符"/>
    <w:link w:val="7"/>
    <w:autoRedefine/>
    <w:qFormat/>
    <w:rPr>
      <w:rFonts w:eastAsia="宋体"/>
      <w:b/>
      <w:bCs/>
      <w:kern w:val="2"/>
      <w:sz w:val="24"/>
      <w:szCs w:val="24"/>
    </w:rPr>
  </w:style>
  <w:style w:type="character" w:customStyle="1" w:styleId="af5">
    <w:name w:val="批注文字 字符"/>
    <w:link w:val="af4"/>
    <w:autoRedefine/>
    <w:uiPriority w:val="99"/>
    <w:semiHidden/>
    <w:qFormat/>
    <w:rPr>
      <w:rFonts w:ascii="Calibri" w:eastAsia="宋体" w:hAnsi="Calibri"/>
      <w:kern w:val="2"/>
      <w:sz w:val="21"/>
      <w:szCs w:val="21"/>
    </w:rPr>
  </w:style>
  <w:style w:type="character" w:customStyle="1" w:styleId="af7">
    <w:name w:val="批注框文本 字符"/>
    <w:link w:val="af6"/>
    <w:autoRedefine/>
    <w:uiPriority w:val="99"/>
    <w:semiHidden/>
    <w:qFormat/>
    <w:rPr>
      <w:rFonts w:eastAsia="宋体"/>
      <w:kern w:val="2"/>
      <w:sz w:val="18"/>
      <w:szCs w:val="18"/>
    </w:rPr>
  </w:style>
  <w:style w:type="character" w:customStyle="1" w:styleId="af9">
    <w:name w:val="页脚 字符"/>
    <w:link w:val="af8"/>
    <w:autoRedefine/>
    <w:uiPriority w:val="99"/>
    <w:qFormat/>
    <w:locked/>
    <w:rPr>
      <w:rFonts w:eastAsia="宋体"/>
      <w:kern w:val="2"/>
      <w:sz w:val="18"/>
      <w:szCs w:val="18"/>
    </w:rPr>
  </w:style>
  <w:style w:type="paragraph" w:customStyle="1" w:styleId="aff6">
    <w:name w:val="其他标准称谓"/>
    <w:autoRedefine/>
    <w:qFormat/>
    <w:pPr>
      <w:spacing w:line="0" w:lineRule="atLeast"/>
      <w:jc w:val="distribute"/>
    </w:pPr>
    <w:rPr>
      <w:rFonts w:ascii="黑体" w:eastAsia="黑体" w:hAnsi="Calibri" w:cs="Calibri"/>
      <w:sz w:val="52"/>
    </w:rPr>
  </w:style>
  <w:style w:type="paragraph" w:customStyle="1" w:styleId="10">
    <w:name w:val="封面标准号1"/>
    <w:autoRedefine/>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7">
    <w:name w:val="标准文件_段"/>
    <w:link w:val="Char"/>
    <w:autoRedefine/>
    <w:qFormat/>
    <w:pPr>
      <w:autoSpaceDE w:val="0"/>
      <w:autoSpaceDN w:val="0"/>
      <w:spacing w:beforeLines="50" w:before="156" w:afterLines="50" w:after="156" w:line="520" w:lineRule="exact"/>
      <w:ind w:firstLineChars="200" w:firstLine="480"/>
      <w:jc w:val="center"/>
    </w:pPr>
    <w:rPr>
      <w:rFonts w:ascii="黑体" w:eastAsia="黑体" w:hAnsi="黑体" w:cs="黑体"/>
      <w:bCs/>
      <w:sz w:val="24"/>
      <w:szCs w:val="24"/>
    </w:rPr>
  </w:style>
  <w:style w:type="character" w:customStyle="1" w:styleId="Char">
    <w:name w:val="标准文件_段 Char"/>
    <w:link w:val="aff7"/>
    <w:autoRedefine/>
    <w:qFormat/>
    <w:rPr>
      <w:rFonts w:ascii="黑体" w:eastAsia="黑体" w:hAnsi="黑体" w:cs="黑体"/>
      <w:bCs/>
      <w:sz w:val="24"/>
      <w:szCs w:val="24"/>
    </w:rPr>
  </w:style>
  <w:style w:type="paragraph" w:customStyle="1" w:styleId="ab">
    <w:name w:val="标准文件_章标题"/>
    <w:next w:val="aff7"/>
    <w:autoRedefine/>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8">
    <w:name w:val="标准文件_二级条标题"/>
    <w:next w:val="aff7"/>
    <w:autoRedefine/>
    <w:qFormat/>
    <w:pPr>
      <w:widowControl w:val="0"/>
      <w:spacing w:beforeLines="50" w:before="50" w:afterLines="50" w:after="50"/>
      <w:jc w:val="both"/>
      <w:outlineLvl w:val="2"/>
    </w:pPr>
    <w:rPr>
      <w:rFonts w:ascii="黑体" w:eastAsia="黑体" w:hAnsi="Calibri" w:cs="Calibri"/>
      <w:sz w:val="21"/>
    </w:rPr>
  </w:style>
  <w:style w:type="paragraph" w:customStyle="1" w:styleId="ac">
    <w:name w:val="标准文件_一级条标题"/>
    <w:basedOn w:val="ab"/>
    <w:next w:val="aff7"/>
    <w:autoRedefine/>
    <w:qFormat/>
    <w:pPr>
      <w:numPr>
        <w:ilvl w:val="2"/>
      </w:numPr>
      <w:spacing w:beforeLines="0" w:before="50" w:afterLines="0" w:after="50"/>
      <w:outlineLvl w:val="1"/>
    </w:pPr>
  </w:style>
  <w:style w:type="paragraph" w:customStyle="1" w:styleId="aff9">
    <w:name w:val="标准文件_三级条标题"/>
    <w:basedOn w:val="aff8"/>
    <w:next w:val="aff7"/>
    <w:autoRedefine/>
    <w:qFormat/>
    <w:pPr>
      <w:outlineLvl w:val="3"/>
    </w:pPr>
  </w:style>
  <w:style w:type="paragraph" w:customStyle="1" w:styleId="affa">
    <w:name w:val="标准文件_四级条标题"/>
    <w:next w:val="aff7"/>
    <w:autoRedefine/>
    <w:qFormat/>
    <w:pPr>
      <w:widowControl w:val="0"/>
      <w:spacing w:beforeLines="50" w:before="50" w:afterLines="50" w:after="50"/>
      <w:jc w:val="both"/>
      <w:outlineLvl w:val="4"/>
    </w:pPr>
    <w:rPr>
      <w:rFonts w:ascii="黑体" w:eastAsia="黑体" w:hAnsi="Calibri" w:cs="Calibri"/>
      <w:sz w:val="21"/>
    </w:rPr>
  </w:style>
  <w:style w:type="paragraph" w:customStyle="1" w:styleId="af">
    <w:name w:val="标准文件_五级条标题"/>
    <w:next w:val="aff8"/>
    <w:autoRedefine/>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a">
    <w:name w:val="前言标题"/>
    <w:next w:val="af0"/>
    <w:autoRedefine/>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e">
    <w:name w:val="标准文件_四级无标题"/>
    <w:basedOn w:val="affa"/>
    <w:autoRedefine/>
    <w:qFormat/>
    <w:pPr>
      <w:numPr>
        <w:ilvl w:val="5"/>
        <w:numId w:val="1"/>
      </w:numPr>
    </w:pPr>
    <w:rPr>
      <w:rFonts w:ascii="宋体" w:eastAsia="宋体"/>
      <w:szCs w:val="52"/>
    </w:rPr>
  </w:style>
  <w:style w:type="paragraph" w:customStyle="1" w:styleId="ad">
    <w:name w:val="标准文件_三级无标题"/>
    <w:basedOn w:val="aff9"/>
    <w:autoRedefine/>
    <w:qFormat/>
    <w:pPr>
      <w:numPr>
        <w:ilvl w:val="4"/>
        <w:numId w:val="1"/>
      </w:numPr>
    </w:pPr>
    <w:rPr>
      <w:rFonts w:ascii="宋体" w:eastAsia="宋体"/>
    </w:rPr>
  </w:style>
  <w:style w:type="paragraph" w:customStyle="1" w:styleId="a">
    <w:name w:val="标准文件_正文表标题"/>
    <w:autoRedefine/>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autoRedefine/>
    <w:qFormat/>
    <w:rPr>
      <w:rFonts w:ascii="等线" w:eastAsia="等线"/>
      <w:b/>
      <w:bCs/>
      <w:color w:val="FF0000"/>
      <w:sz w:val="22"/>
      <w:szCs w:val="22"/>
      <w:u w:val="none"/>
    </w:rPr>
  </w:style>
  <w:style w:type="character" w:customStyle="1" w:styleId="font01">
    <w:name w:val="font01"/>
    <w:autoRedefine/>
    <w:qFormat/>
    <w:rPr>
      <w:rFonts w:ascii="等线" w:eastAsia="等线"/>
      <w:color w:val="000000"/>
      <w:sz w:val="22"/>
      <w:szCs w:val="22"/>
      <w:u w:val="none"/>
    </w:rPr>
  </w:style>
  <w:style w:type="paragraph" w:customStyle="1" w:styleId="affb">
    <w:name w:val="段"/>
    <w:autoRedefine/>
    <w:qFormat/>
    <w:pPr>
      <w:autoSpaceDE w:val="0"/>
      <w:autoSpaceDN w:val="0"/>
      <w:ind w:firstLineChars="200" w:firstLine="200"/>
      <w:jc w:val="both"/>
    </w:pPr>
    <w:rPr>
      <w:rFonts w:ascii="宋体" w:hAnsi="Calibri" w:cs="Calibri"/>
      <w:sz w:val="21"/>
    </w:rPr>
  </w:style>
  <w:style w:type="paragraph" w:customStyle="1" w:styleId="a5">
    <w:name w:val="二级无"/>
    <w:basedOn w:val="af0"/>
    <w:autoRedefine/>
    <w:qFormat/>
    <w:pPr>
      <w:widowControl/>
      <w:numPr>
        <w:ilvl w:val="2"/>
        <w:numId w:val="3"/>
      </w:numPr>
      <w:jc w:val="left"/>
      <w:outlineLvl w:val="3"/>
    </w:pPr>
    <w:rPr>
      <w:rFonts w:ascii="宋体"/>
      <w:kern w:val="0"/>
      <w:szCs w:val="21"/>
    </w:rPr>
  </w:style>
  <w:style w:type="paragraph" w:customStyle="1" w:styleId="a4">
    <w:name w:val="标准文件_二级无标题"/>
    <w:basedOn w:val="aff8"/>
    <w:autoRedefine/>
    <w:qFormat/>
    <w:pPr>
      <w:numPr>
        <w:ilvl w:val="3"/>
        <w:numId w:val="4"/>
      </w:numPr>
      <w:spacing w:beforeLines="0" w:before="0" w:afterLines="0" w:after="0"/>
      <w:outlineLvl w:val="9"/>
    </w:pPr>
    <w:rPr>
      <w:rFonts w:ascii="宋体" w:eastAsia="宋体"/>
    </w:rPr>
  </w:style>
  <w:style w:type="paragraph" w:customStyle="1" w:styleId="CharCharCharChar">
    <w:name w:val="Char Char Char Char"/>
    <w:basedOn w:val="af0"/>
    <w:autoRedefine/>
    <w:qFormat/>
  </w:style>
  <w:style w:type="paragraph" w:customStyle="1" w:styleId="a8">
    <w:name w:val="标准文件_数字编号列项（二级）"/>
    <w:autoRedefine/>
    <w:qFormat/>
    <w:pPr>
      <w:numPr>
        <w:ilvl w:val="1"/>
        <w:numId w:val="5"/>
      </w:numPr>
      <w:jc w:val="both"/>
    </w:pPr>
    <w:rPr>
      <w:rFonts w:ascii="宋体" w:hAnsi="Calibri" w:cs="Calibri"/>
      <w:sz w:val="21"/>
    </w:rPr>
  </w:style>
  <w:style w:type="paragraph" w:customStyle="1" w:styleId="a9">
    <w:name w:val="标准文件_编号列项（三级）"/>
    <w:autoRedefine/>
    <w:qFormat/>
    <w:pPr>
      <w:numPr>
        <w:ilvl w:val="2"/>
        <w:numId w:val="5"/>
      </w:numPr>
    </w:pPr>
    <w:rPr>
      <w:rFonts w:ascii="宋体" w:hAnsi="Calibri" w:cs="Calibri"/>
      <w:sz w:val="21"/>
    </w:rPr>
  </w:style>
  <w:style w:type="paragraph" w:customStyle="1" w:styleId="a7">
    <w:name w:val="标准文件_字母编号列项（一级）"/>
    <w:autoRedefine/>
    <w:qFormat/>
    <w:pPr>
      <w:numPr>
        <w:numId w:val="5"/>
      </w:numPr>
      <w:jc w:val="both"/>
    </w:pPr>
    <w:rPr>
      <w:rFonts w:ascii="宋体" w:hAnsi="Calibri" w:cs="Calibri"/>
      <w:sz w:val="21"/>
    </w:rPr>
  </w:style>
  <w:style w:type="paragraph" w:customStyle="1" w:styleId="affc">
    <w:name w:val="标准文件_术语条一"/>
    <w:basedOn w:val="af0"/>
    <w:next w:val="aff7"/>
    <w:autoRedefine/>
    <w:qFormat/>
    <w:pPr>
      <w:widowControl/>
    </w:pPr>
    <w:rPr>
      <w:rFonts w:ascii="宋体"/>
      <w:kern w:val="0"/>
      <w:szCs w:val="20"/>
    </w:rPr>
  </w:style>
  <w:style w:type="paragraph" w:customStyle="1" w:styleId="abstract">
    <w:name w:val="abstract"/>
    <w:basedOn w:val="af0"/>
    <w:autoRedefine/>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f0"/>
    <w:autoRedefine/>
    <w:qFormat/>
    <w:pPr>
      <w:widowControl/>
      <w:spacing w:before="100" w:beforeAutospacing="1" w:after="100" w:afterAutospacing="1"/>
      <w:jc w:val="left"/>
    </w:pPr>
    <w:rPr>
      <w:rFonts w:ascii="宋体" w:hAnsi="宋体" w:cs="宋体"/>
      <w:kern w:val="0"/>
      <w:sz w:val="24"/>
    </w:rPr>
  </w:style>
  <w:style w:type="paragraph" w:styleId="affd">
    <w:name w:val="No Spacing"/>
    <w:autoRedefine/>
    <w:uiPriority w:val="99"/>
    <w:qFormat/>
    <w:pPr>
      <w:widowControl w:val="0"/>
      <w:jc w:val="both"/>
    </w:pPr>
    <w:rPr>
      <w:rFonts w:ascii="Calibri" w:hAnsi="Calibri"/>
      <w:kern w:val="2"/>
      <w:sz w:val="21"/>
      <w:szCs w:val="24"/>
    </w:rPr>
  </w:style>
  <w:style w:type="paragraph" w:customStyle="1" w:styleId="a6">
    <w:name w:val="标准文件_一级项"/>
    <w:autoRedefine/>
    <w:qFormat/>
    <w:pPr>
      <w:numPr>
        <w:numId w:val="6"/>
      </w:numPr>
    </w:pPr>
    <w:rPr>
      <w:rFonts w:ascii="宋体"/>
      <w:sz w:val="21"/>
    </w:rPr>
  </w:style>
  <w:style w:type="paragraph" w:customStyle="1" w:styleId="Char0">
    <w:name w:val="普通(网站) Char"/>
    <w:basedOn w:val="af0"/>
    <w:qFormat/>
    <w:pPr>
      <w:spacing w:beforeAutospacing="1" w:afterAutospacing="1"/>
      <w:jc w:val="left"/>
    </w:pPr>
    <w:rPr>
      <w:rFonts w:ascii="宋体" w:hAnsi="宋体" w:cs="Times New Roman" w:hint="eastAsia"/>
      <w:kern w:val="0"/>
      <w:sz w:val="24"/>
    </w:rPr>
  </w:style>
  <w:style w:type="paragraph" w:customStyle="1" w:styleId="a0">
    <w:name w:val="标准文件_五级无标题"/>
    <w:qFormat/>
    <w:pPr>
      <w:widowControl w:val="0"/>
      <w:numPr>
        <w:ilvl w:val="6"/>
        <w:numId w:val="7"/>
      </w:numPr>
      <w:jc w:val="both"/>
    </w:pPr>
    <w:rPr>
      <w:rFonts w:ascii="宋体" w:hint="eastAsia"/>
      <w:sz w:val="21"/>
    </w:rPr>
  </w:style>
  <w:style w:type="paragraph" w:customStyle="1" w:styleId="a2">
    <w:name w:val="标准文件_注×："/>
    <w:basedOn w:val="af0"/>
    <w:qFormat/>
    <w:pPr>
      <w:numPr>
        <w:numId w:val="8"/>
      </w:numPr>
      <w:autoSpaceDE w:val="0"/>
      <w:autoSpaceDN w:val="0"/>
    </w:pPr>
    <w:rPr>
      <w:rFonts w:ascii="宋体" w:hAnsi="Times New Roman" w:cs="Times New Roman" w:hint="eastAsia"/>
      <w:kern w:val="0"/>
      <w:sz w:val="18"/>
      <w:szCs w:val="18"/>
    </w:rPr>
  </w:style>
  <w:style w:type="paragraph" w:customStyle="1" w:styleId="affe">
    <w:name w:val="标准文件_表格"/>
    <w:basedOn w:val="af0"/>
    <w:qFormat/>
    <w:pPr>
      <w:widowControl/>
      <w:autoSpaceDE w:val="0"/>
      <w:autoSpaceDN w:val="0"/>
      <w:jc w:val="center"/>
    </w:pPr>
    <w:rPr>
      <w:rFonts w:ascii="宋体" w:hAnsi="Times New Roman" w:cs="Times New Roman" w:hint="eastAsia"/>
      <w:kern w:val="0"/>
      <w:sz w:val="18"/>
      <w:szCs w:val="20"/>
    </w:rPr>
  </w:style>
  <w:style w:type="paragraph" w:customStyle="1" w:styleId="a3">
    <w:name w:val="标准文件_附录表标题"/>
    <w:basedOn w:val="af0"/>
    <w:next w:val="af0"/>
    <w:qFormat/>
    <w:pPr>
      <w:widowControl/>
      <w:numPr>
        <w:ilvl w:val="1"/>
        <w:numId w:val="9"/>
      </w:numPr>
      <w:adjustRightInd w:val="0"/>
      <w:snapToGrid w:val="0"/>
      <w:spacing w:beforeLines="50" w:before="50" w:afterLines="50" w:after="50"/>
      <w:jc w:val="center"/>
    </w:pPr>
    <w:rPr>
      <w:rFonts w:ascii="黑体" w:eastAsia="黑体" w:hAnsi="Times New Roman" w:cs="Times New Roman" w:hint="eastAsia"/>
      <w:kern w:val="21"/>
      <w:szCs w:val="20"/>
    </w:rPr>
  </w:style>
  <w:style w:type="character" w:customStyle="1" w:styleId="font31">
    <w:name w:val="font31"/>
    <w:basedOn w:val="af1"/>
    <w:qFormat/>
    <w:rPr>
      <w:rFonts w:ascii="宋体" w:eastAsia="宋体" w:hAnsi="宋体" w:cs="宋体" w:hint="eastAsia"/>
      <w:color w:val="1F2329"/>
      <w:sz w:val="24"/>
      <w:szCs w:val="24"/>
      <w:u w:val="none"/>
    </w:rPr>
  </w:style>
  <w:style w:type="paragraph" w:customStyle="1" w:styleId="a1">
    <w:name w:val="标准文件_附录一级条标题"/>
    <w:basedOn w:val="af0"/>
    <w:next w:val="af0"/>
    <w:qFormat/>
    <w:pPr>
      <w:numPr>
        <w:ilvl w:val="1"/>
        <w:numId w:val="10"/>
      </w:numPr>
      <w:spacing w:beforeLines="50" w:before="50" w:afterLines="50" w:after="50"/>
      <w:outlineLvl w:val="2"/>
    </w:pPr>
    <w:rPr>
      <w:rFonts w:ascii="黑体" w:eastAsia="黑体" w:hAnsi="Times New Roman" w:cs="Times New Roman" w:hint="eastAsia"/>
      <w:kern w:val="21"/>
      <w:szCs w:val="20"/>
    </w:rPr>
  </w:style>
  <w:style w:type="character" w:customStyle="1" w:styleId="afe">
    <w:name w:val="标题 字符"/>
    <w:basedOn w:val="af1"/>
    <w:link w:val="afd"/>
    <w:qFormat/>
    <w:rPr>
      <w:rFonts w:ascii="等线 Light" w:eastAsia="等线 Light" w:hAnsi="等线 Light" w:cs="Times New Roman"/>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1856</Words>
  <Characters>10580</Characters>
  <Application>Microsoft Office Word</Application>
  <DocSecurity>0</DocSecurity>
  <Lines>88</Lines>
  <Paragraphs>24</Paragraphs>
  <ScaleCrop>false</ScaleCrop>
  <Company/>
  <LinksUpToDate>false</LinksUpToDate>
  <CharactersWithSpaces>12412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定李 岑</cp:lastModifiedBy>
  <cp:revision>41</cp:revision>
  <cp:lastPrinted>2025-09-04T06:54:00Z</cp:lastPrinted>
  <dcterms:created xsi:type="dcterms:W3CDTF">2025-04-23T01:45:00Z</dcterms:created>
  <dcterms:modified xsi:type="dcterms:W3CDTF">2026-03-21T11:37:00Z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550319053AE14125AFC1710B7A515314_13</vt:lpwstr>
  </property>
  <property fmtid="{D5CDD505-2E9C-101B-9397-08002B2CF9AE}" pid="4" name="KSOTemplateDocerSaveRecord">
    <vt:lpwstr>eyJoZGlkIjoiMzg2YTk3YWJlMzJiOWE4NmU5OTkxNmM1MjU1OThkOTQiLCJ1c2VySWQiOiIzMjAyMTY5NjkifQ==</vt:lpwstr>
  </property>
</Properties>
</file>